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4669"/>
        <w:gridCol w:w="2700"/>
      </w:tblGrid>
      <w:tr w:rsidR="00477A47" w:rsidTr="00163BA8">
        <w:tc>
          <w:tcPr>
            <w:tcW w:w="2552" w:type="dxa"/>
          </w:tcPr>
          <w:p w:rsidR="00477A47" w:rsidRDefault="009835E4" w:rsidP="00163BA8">
            <w:bookmarkStart w:id="0" w:name="Logo"/>
            <w:r>
              <w:rPr>
                <w:noProof/>
              </w:rPr>
              <w:drawing>
                <wp:inline distT="0" distB="0" distL="0" distR="0" wp14:anchorId="7D33408B" wp14:editId="32400C9B">
                  <wp:extent cx="1148400" cy="600332"/>
                  <wp:effectExtent l="0" t="0" r="0" b="9525"/>
                  <wp:docPr id="1" name="Billede 1" descr="Q:\PPT\SAMLING\JV\Logo2013\LogoSortD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PPT\SAMLING\JV\Logo2013\LogoSortD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400" cy="600332"/>
                          </a:xfrm>
                          <a:prstGeom prst="rect">
                            <a:avLst/>
                          </a:prstGeom>
                          <a:noFill/>
                          <a:ln>
                            <a:noFill/>
                          </a:ln>
                        </pic:spPr>
                      </pic:pic>
                    </a:graphicData>
                  </a:graphic>
                </wp:inline>
              </w:drawing>
            </w:r>
            <w:bookmarkEnd w:id="0"/>
          </w:p>
        </w:tc>
        <w:tc>
          <w:tcPr>
            <w:tcW w:w="4669" w:type="dxa"/>
          </w:tcPr>
          <w:p w:rsidR="00477A47" w:rsidRPr="00A942AC" w:rsidRDefault="00477A47" w:rsidP="00163BA8">
            <w:pPr>
              <w:rPr>
                <w:szCs w:val="21"/>
              </w:rPr>
            </w:pPr>
          </w:p>
        </w:tc>
        <w:tc>
          <w:tcPr>
            <w:tcW w:w="2700" w:type="dxa"/>
          </w:tcPr>
          <w:p w:rsidR="00477A47" w:rsidRPr="00A942AC" w:rsidRDefault="00477A47" w:rsidP="00163BA8">
            <w:pPr>
              <w:rPr>
                <w:szCs w:val="21"/>
              </w:rPr>
            </w:pPr>
            <w:bookmarkStart w:id="1" w:name="Journalnr"/>
            <w:bookmarkEnd w:id="1"/>
          </w:p>
          <w:bookmarkStart w:id="2" w:name="Dato"/>
          <w:bookmarkEnd w:id="2"/>
          <w:p w:rsidR="00477A47" w:rsidRPr="00A942AC" w:rsidRDefault="00477A47" w:rsidP="00163BA8">
            <w:pPr>
              <w:rPr>
                <w:szCs w:val="21"/>
              </w:rPr>
            </w:pPr>
            <w:r>
              <w:fldChar w:fldCharType="begin" w:fldLock="1"/>
            </w:r>
            <w:r>
              <w:instrText xml:space="preserve"> TIME \@ "d. MMMM yyyy" </w:instrText>
            </w:r>
            <w:r>
              <w:fldChar w:fldCharType="separate"/>
            </w:r>
            <w:r w:rsidR="002A67CE">
              <w:rPr>
                <w:noProof/>
              </w:rPr>
              <w:t>1</w:t>
            </w:r>
            <w:r w:rsidR="000061BF">
              <w:rPr>
                <w:noProof/>
              </w:rPr>
              <w:t>.</w:t>
            </w:r>
            <w:r w:rsidR="002A67CE">
              <w:rPr>
                <w:noProof/>
              </w:rPr>
              <w:t xml:space="preserve"> </w:t>
            </w:r>
            <w:r w:rsidR="00FE64D8">
              <w:rPr>
                <w:noProof/>
              </w:rPr>
              <w:t>november</w:t>
            </w:r>
            <w:r w:rsidR="00043FF8">
              <w:rPr>
                <w:noProof/>
              </w:rPr>
              <w:t xml:space="preserve"> 202</w:t>
            </w:r>
            <w:r>
              <w:fldChar w:fldCharType="end"/>
            </w:r>
            <w:r w:rsidR="002A67CE">
              <w:t>3</w:t>
            </w:r>
          </w:p>
          <w:p w:rsidR="00477A47" w:rsidRPr="00A942AC" w:rsidRDefault="00043FF8" w:rsidP="00163BA8">
            <w:pPr>
              <w:rPr>
                <w:szCs w:val="21"/>
              </w:rPr>
            </w:pPr>
            <w:bookmarkStart w:id="3" w:name="Brugerinitial"/>
            <w:bookmarkEnd w:id="3"/>
            <w:r>
              <w:rPr>
                <w:szCs w:val="21"/>
              </w:rPr>
              <w:t>JHO</w:t>
            </w:r>
          </w:p>
          <w:p w:rsidR="00477A47" w:rsidRPr="00A942AC" w:rsidRDefault="00043FF8" w:rsidP="00163BA8">
            <w:pPr>
              <w:rPr>
                <w:szCs w:val="21"/>
              </w:rPr>
            </w:pPr>
            <w:bookmarkStart w:id="4" w:name="kontor"/>
            <w:bookmarkEnd w:id="4"/>
            <w:r>
              <w:rPr>
                <w:szCs w:val="21"/>
              </w:rPr>
              <w:t>Priser og Forbrug</w:t>
            </w:r>
          </w:p>
        </w:tc>
      </w:tr>
    </w:tbl>
    <w:p w:rsidR="00477A47" w:rsidRPr="00D803F3" w:rsidRDefault="00477A47" w:rsidP="00477A47">
      <w:pPr>
        <w:sectPr w:rsidR="00477A47" w:rsidRPr="00D803F3" w:rsidSect="0056349C">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59" w:right="794" w:bottom="1247" w:left="1191" w:header="454" w:footer="454" w:gutter="0"/>
          <w:cols w:space="708"/>
          <w:docGrid w:linePitch="360"/>
        </w:sectPr>
      </w:pPr>
      <w:bookmarkStart w:id="5" w:name="Sektion"/>
      <w:bookmarkEnd w:id="5"/>
    </w:p>
    <w:bookmarkStart w:id="6" w:name="Artikel" w:displacedByCustomXml="next"/>
    <w:bookmarkEnd w:id="6" w:displacedByCustomXml="next"/>
    <w:bookmarkStart w:id="7" w:name="Titel" w:displacedByCustomXml="next"/>
    <w:sdt>
      <w:sdtPr>
        <w:alias w:val="Titel"/>
        <w:tag w:val=""/>
        <w:id w:val="-1116371093"/>
        <w:placeholder>
          <w:docPart w:val="59DEEECDA8FC471E8AED6D7C2E464027"/>
        </w:placeholder>
        <w:dataBinding w:prefixMappings="xmlns:ns0='http://purl.org/dc/elements/1.1/' xmlns:ns1='http://schemas.openxmlformats.org/package/2006/metadata/core-properties' " w:xpath="/ns1:coreProperties[1]/ns0:title[1]" w:storeItemID="{6C3C8BC8-F283-45AE-878A-BAB7291924A1}"/>
        <w:text/>
      </w:sdtPr>
      <w:sdtContent>
        <w:p w:rsidR="00477A47" w:rsidRDefault="00AF1BAF" w:rsidP="00477A47">
          <w:pPr>
            <w:pStyle w:val="Titel"/>
            <w:rPr>
              <w:rFonts w:ascii="Georgia" w:hAnsi="Georgia" w:cs="Times New Roman"/>
              <w:b w:val="0"/>
              <w:bCs w:val="0"/>
              <w:kern w:val="0"/>
              <w:sz w:val="20"/>
              <w:szCs w:val="24"/>
            </w:rPr>
          </w:pPr>
          <w:r>
            <w:t>Beregning af</w:t>
          </w:r>
          <w:r w:rsidR="000A4619">
            <w:t xml:space="preserve"> </w:t>
          </w:r>
          <w:r w:rsidR="002A67CE">
            <w:t>prisindeks for andels</w:t>
          </w:r>
          <w:r w:rsidR="00901F38">
            <w:t>bolig</w:t>
          </w:r>
          <w:r w:rsidR="002A67CE">
            <w:t>er</w:t>
          </w:r>
        </w:p>
      </w:sdtContent>
    </w:sdt>
    <w:bookmarkEnd w:id="7"/>
    <w:p w:rsidR="004A2C81" w:rsidRDefault="004A2C81" w:rsidP="00477A47">
      <w:pPr>
        <w:rPr>
          <w:i/>
        </w:rPr>
      </w:pPr>
    </w:p>
    <w:p w:rsidR="00310656" w:rsidRDefault="00FD5FFD" w:rsidP="00FD5FFD">
      <w:r>
        <w:t xml:space="preserve">I dette papir </w:t>
      </w:r>
      <w:r w:rsidR="00310656">
        <w:t xml:space="preserve">beskrives lidt om </w:t>
      </w:r>
      <w:r w:rsidR="002A67CE">
        <w:t xml:space="preserve">konstruktionen </w:t>
      </w:r>
      <w:r w:rsidR="007E3E86">
        <w:t xml:space="preserve">af </w:t>
      </w:r>
      <w:r w:rsidR="002A67CE">
        <w:t>prisindeks for andelsboliger.</w:t>
      </w:r>
    </w:p>
    <w:p w:rsidR="00B44F53" w:rsidRDefault="00B44F53" w:rsidP="00FD5FFD"/>
    <w:p w:rsidR="00B44F53" w:rsidRPr="00044374" w:rsidRDefault="00371F4A" w:rsidP="00044374">
      <w:pPr>
        <w:pStyle w:val="Listeafsnit"/>
        <w:numPr>
          <w:ilvl w:val="0"/>
          <w:numId w:val="24"/>
        </w:numPr>
        <w:jc w:val="left"/>
        <w:rPr>
          <w:b/>
        </w:rPr>
      </w:pPr>
      <w:r>
        <w:rPr>
          <w:b/>
        </w:rPr>
        <w:t>Formål og p</w:t>
      </w:r>
      <w:r w:rsidR="00B44F53" w:rsidRPr="00044374">
        <w:rPr>
          <w:b/>
        </w:rPr>
        <w:t>risbegreb:</w:t>
      </w:r>
    </w:p>
    <w:p w:rsidR="00572E83" w:rsidRDefault="003622D3" w:rsidP="00B44F53">
      <w:r>
        <w:t xml:space="preserve">Formålet med prisbegrebet </w:t>
      </w:r>
      <w:r w:rsidR="00C1399C">
        <w:t xml:space="preserve">for andelsboliger </w:t>
      </w:r>
      <w:r>
        <w:t xml:space="preserve">er, at det kan anvendes til at give en retvisende bedømmelse af </w:t>
      </w:r>
      <w:r w:rsidRPr="003622D3">
        <w:rPr>
          <w:i/>
        </w:rPr>
        <w:t>udviklingen i ejendomsprisen</w:t>
      </w:r>
      <w:r>
        <w:t xml:space="preserve"> for andelsboliger, da man må forvente, at prisindekset vil blive benyttet til at sammenligne </w:t>
      </w:r>
      <w:r w:rsidR="00371F4A">
        <w:t>med prisudviklingen for ejerboliger.</w:t>
      </w:r>
    </w:p>
    <w:p w:rsidR="00572E83" w:rsidRDefault="00572E83" w:rsidP="00B44F53"/>
    <w:p w:rsidR="00B44F53" w:rsidRDefault="00371F4A" w:rsidP="00B44F53">
      <w:r>
        <w:t>P</w:t>
      </w:r>
      <w:r w:rsidR="00FA085E">
        <w:t xml:space="preserve">risbegrebet skal </w:t>
      </w:r>
      <w:r w:rsidR="003622D3">
        <w:t>dække prisen for andelsboligen – og alene den og dermed ikke pr</w:t>
      </w:r>
      <w:r w:rsidR="002F284C">
        <w:t>isen for andelsbeviset (andelsværdien)</w:t>
      </w:r>
      <w:r w:rsidR="003622D3">
        <w:t xml:space="preserve">, som er det der bliver handlet. Prisbegrebet kan illustreres med </w:t>
      </w:r>
      <w:r w:rsidR="00B44F53">
        <w:t>udgangspunkt i et forenklet eksempel på en andelsboligforenings balance:</w:t>
      </w:r>
    </w:p>
    <w:p w:rsidR="00B44F53" w:rsidRDefault="00B44F53" w:rsidP="00B44F53"/>
    <w:p w:rsidR="00B44F53" w:rsidRPr="00246441" w:rsidRDefault="00B44F53" w:rsidP="00B44F53">
      <w:pPr>
        <w:rPr>
          <w:b/>
        </w:rPr>
      </w:pPr>
      <w:r w:rsidRPr="00246441">
        <w:rPr>
          <w:b/>
        </w:rPr>
        <w:t>Tabel 1: Eksempel på en andelsboligforenings balance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1417"/>
        <w:gridCol w:w="1843"/>
        <w:gridCol w:w="1417"/>
      </w:tblGrid>
      <w:tr w:rsidR="00B44F53" w:rsidRPr="00043880" w:rsidTr="00163BA8">
        <w:tc>
          <w:tcPr>
            <w:tcW w:w="212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b/>
              </w:rPr>
            </w:pPr>
            <w:r w:rsidRPr="009979E2">
              <w:rPr>
                <w:rFonts w:ascii="Arial Narrow" w:hAnsi="Arial Narrow"/>
                <w:b/>
              </w:rPr>
              <w:t>Aktiver</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Beløb i kr.</w:t>
            </w:r>
          </w:p>
        </w:tc>
        <w:tc>
          <w:tcPr>
            <w:tcW w:w="1843"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b/>
              </w:rPr>
            </w:pPr>
            <w:r w:rsidRPr="009979E2">
              <w:rPr>
                <w:rFonts w:ascii="Arial Narrow" w:hAnsi="Arial Narrow"/>
                <w:b/>
              </w:rPr>
              <w:t>Passiver</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Beløb i kr.</w:t>
            </w:r>
          </w:p>
        </w:tc>
      </w:tr>
      <w:tr w:rsidR="00B44F53" w:rsidRPr="00043880" w:rsidTr="00163BA8">
        <w:tc>
          <w:tcPr>
            <w:tcW w:w="2127" w:type="dxa"/>
            <w:tcBorders>
              <w:top w:val="single" w:sz="4" w:space="0" w:color="auto"/>
              <w:left w:val="single" w:sz="4" w:space="0" w:color="auto"/>
              <w:bottom w:val="single" w:sz="4" w:space="0" w:color="auto"/>
              <w:right w:val="single" w:sz="4" w:space="0" w:color="auto"/>
            </w:tcBorders>
          </w:tcPr>
          <w:p w:rsidR="00B44F53" w:rsidRPr="00B42507" w:rsidRDefault="00B44F53" w:rsidP="00163BA8">
            <w:pPr>
              <w:rPr>
                <w:rFonts w:ascii="Arial Narrow" w:hAnsi="Arial Narrow"/>
                <w:vertAlign w:val="superscript"/>
              </w:rPr>
            </w:pPr>
            <w:r w:rsidRPr="009979E2">
              <w:rPr>
                <w:rFonts w:ascii="Arial Narrow" w:hAnsi="Arial Narrow"/>
              </w:rPr>
              <w:t>Ejendommens værdi</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 xml:space="preserve">10 mio. </w:t>
            </w:r>
          </w:p>
        </w:tc>
        <w:tc>
          <w:tcPr>
            <w:tcW w:w="1843"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Andelsværdi</w:t>
            </w:r>
            <w:r w:rsidRPr="009979E2">
              <w:rPr>
                <w:rFonts w:ascii="Arial Narrow" w:hAnsi="Arial Narrow"/>
              </w:rPr>
              <w:t xml:space="preserve"> </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5 mio.</w:t>
            </w:r>
          </w:p>
        </w:tc>
      </w:tr>
      <w:tr w:rsidR="00B44F53" w:rsidRPr="00043880" w:rsidTr="00163BA8">
        <w:tc>
          <w:tcPr>
            <w:tcW w:w="212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sidRPr="009979E2">
              <w:rPr>
                <w:rFonts w:ascii="Arial Narrow" w:hAnsi="Arial Narrow"/>
              </w:rPr>
              <w:t>Finansiel opsparing</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 xml:space="preserve">2 mio. </w:t>
            </w:r>
          </w:p>
        </w:tc>
        <w:tc>
          <w:tcPr>
            <w:tcW w:w="1843"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sidRPr="009979E2">
              <w:rPr>
                <w:rFonts w:ascii="Arial Narrow" w:hAnsi="Arial Narrow"/>
              </w:rPr>
              <w:t>Realkreditlån</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7 mio.</w:t>
            </w:r>
          </w:p>
        </w:tc>
      </w:tr>
      <w:tr w:rsidR="00B44F53" w:rsidRPr="00043880" w:rsidTr="00163BA8">
        <w:tc>
          <w:tcPr>
            <w:tcW w:w="212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sidRPr="009979E2">
              <w:rPr>
                <w:rFonts w:ascii="Arial Narrow" w:hAnsi="Arial Narrow"/>
              </w:rPr>
              <w:t xml:space="preserve">Andre aktiver                       </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 xml:space="preserve">1 mio. </w:t>
            </w:r>
          </w:p>
        </w:tc>
        <w:tc>
          <w:tcPr>
            <w:tcW w:w="1843"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sidRPr="009979E2">
              <w:rPr>
                <w:rFonts w:ascii="Arial Narrow" w:hAnsi="Arial Narrow"/>
              </w:rPr>
              <w:t>Banklån</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1 mio.</w:t>
            </w:r>
          </w:p>
        </w:tc>
      </w:tr>
      <w:tr w:rsidR="00B44F53" w:rsidRPr="00043880" w:rsidTr="00163BA8">
        <w:tc>
          <w:tcPr>
            <w:tcW w:w="212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sidRPr="009979E2">
              <w:rPr>
                <w:rFonts w:ascii="Arial Narrow" w:hAnsi="Arial Narrow"/>
                <w:b/>
              </w:rPr>
              <w:t>Aktiver i alt</w:t>
            </w:r>
            <w:r w:rsidRPr="009979E2">
              <w:rPr>
                <w:rFonts w:ascii="Arial Narrow" w:hAnsi="Arial Narrow"/>
              </w:rPr>
              <w:t xml:space="preserve">                          </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13 mio.</w:t>
            </w:r>
          </w:p>
        </w:tc>
        <w:tc>
          <w:tcPr>
            <w:tcW w:w="1843"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sidRPr="009979E2">
              <w:rPr>
                <w:rFonts w:ascii="Arial Narrow" w:hAnsi="Arial Narrow"/>
                <w:b/>
              </w:rPr>
              <w:t>Passiver i alt</w:t>
            </w:r>
            <w:r w:rsidRPr="009979E2">
              <w:rPr>
                <w:rFonts w:ascii="Arial Narrow" w:hAnsi="Arial Narrow"/>
              </w:rPr>
              <w:t xml:space="preserve">                      </w:t>
            </w:r>
          </w:p>
        </w:tc>
        <w:tc>
          <w:tcPr>
            <w:tcW w:w="1417" w:type="dxa"/>
            <w:tcBorders>
              <w:top w:val="single" w:sz="4" w:space="0" w:color="auto"/>
              <w:left w:val="single" w:sz="4" w:space="0" w:color="auto"/>
              <w:bottom w:val="single" w:sz="4" w:space="0" w:color="auto"/>
              <w:right w:val="single" w:sz="4" w:space="0" w:color="auto"/>
            </w:tcBorders>
          </w:tcPr>
          <w:p w:rsidR="00B44F53" w:rsidRPr="009979E2" w:rsidRDefault="00B44F53" w:rsidP="00163BA8">
            <w:pPr>
              <w:rPr>
                <w:rFonts w:ascii="Arial Narrow" w:hAnsi="Arial Narrow"/>
              </w:rPr>
            </w:pPr>
            <w:r>
              <w:rPr>
                <w:rFonts w:ascii="Arial Narrow" w:hAnsi="Arial Narrow"/>
              </w:rPr>
              <w:t>13 mio.</w:t>
            </w:r>
          </w:p>
        </w:tc>
      </w:tr>
    </w:tbl>
    <w:p w:rsidR="00B44F53" w:rsidRDefault="00B44F53" w:rsidP="00B44F53"/>
    <w:p w:rsidR="00494CDF" w:rsidRDefault="00D95903" w:rsidP="00D95903">
      <w:r>
        <w:t xml:space="preserve">Hvis vi antager, at fordelingstallet for </w:t>
      </w:r>
      <w:r w:rsidR="009F318B">
        <w:t>den overtagne andelsværdi</w:t>
      </w:r>
      <w:r>
        <w:t xml:space="preserve"> er 1/5 (20 pct.),</w:t>
      </w:r>
      <w:r w:rsidR="00494CDF">
        <w:t xml:space="preserve"> </w:t>
      </w:r>
      <w:r>
        <w:t xml:space="preserve">bliver den maksimale andelsværdi 1. mio. kr. (1/5 af andelsværdien på 5 mio. kr. </w:t>
      </w:r>
      <w:r w:rsidR="00494CDF">
        <w:t xml:space="preserve">Værdien af forbedringer i egen bolig foretaget af den enkelte andelshaver er 50.000 kr., så maksimalprisen </w:t>
      </w:r>
      <w:r w:rsidR="009F318B">
        <w:t xml:space="preserve">i alt </w:t>
      </w:r>
      <w:r w:rsidR="00494CDF">
        <w:t xml:space="preserve">på et andelsbevis bliver 1.050.000 kr. Handelsprisen for ejerandelsbeviset er 925.000 kr. svarende til, at der handles 75.000 kr. under den maksimale andelsværdi og 125.000 kr. under maksimalprisen i alt inkl. forbedringer i boligen. </w:t>
      </w:r>
    </w:p>
    <w:p w:rsidR="00494CDF" w:rsidRDefault="00494CDF" w:rsidP="00D95903"/>
    <w:p w:rsidR="00D95903" w:rsidRDefault="00494CDF" w:rsidP="00D95903">
      <w:r>
        <w:t>Prisen for andelsboligen (de</w:t>
      </w:r>
      <w:r w:rsidR="00371F4A">
        <w:t>t</w:t>
      </w:r>
      <w:r>
        <w:t xml:space="preserve"> anvendte prisbegreb) udregnes </w:t>
      </w:r>
      <w:r w:rsidR="00371F4A">
        <w:t xml:space="preserve">i praksis </w:t>
      </w:r>
      <w:r>
        <w:t>som i ligning (1</w:t>
      </w:r>
      <w:r w:rsidR="009502DC">
        <w:t>a</w:t>
      </w:r>
      <w:r>
        <w:t>):</w:t>
      </w:r>
    </w:p>
    <w:p w:rsidR="003622D3" w:rsidRDefault="003622D3" w:rsidP="00B44F53"/>
    <w:p w:rsidR="00B44F53" w:rsidRPr="009F318B" w:rsidRDefault="00371F4A" w:rsidP="00B44F53">
      <w:pPr>
        <w:rPr>
          <w:lang w:val="en-US"/>
        </w:rPr>
      </w:pPr>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lang w:val="en-US"/>
          </w:rPr>
          <m:t>=</m:t>
        </m:r>
        <m:r>
          <w:rPr>
            <w:rFonts w:ascii="Cambria Math" w:hAnsi="Cambria Math"/>
          </w:rPr>
          <m:t>EJD</m:t>
        </m:r>
        <m:r>
          <w:rPr>
            <w:rFonts w:ascii="Cambria Math" w:hAnsi="Cambria Math"/>
            <w:lang w:val="en-US"/>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MA</m:t>
                    </m:r>
                  </m:e>
                  <m:sub>
                    <m:r>
                      <w:rPr>
                        <w:rFonts w:ascii="Cambria Math" w:hAnsi="Cambria Math"/>
                      </w:rPr>
                      <m:t>i</m:t>
                    </m:r>
                  </m:sub>
                </m:sSub>
                <m:r>
                  <w:rPr>
                    <w:rFonts w:ascii="Cambria Math" w:hAnsi="Cambria Math"/>
                    <w:lang w:val="en-US"/>
                  </w:rPr>
                  <m:t>-</m:t>
                </m:r>
                <m:r>
                  <w:rPr>
                    <w:rFonts w:ascii="Cambria Math" w:hAnsi="Cambria Math"/>
                  </w:rPr>
                  <m:t>HP</m:t>
                </m:r>
              </m:e>
              <m:sub>
                <m:r>
                  <w:rPr>
                    <w:rFonts w:ascii="Cambria Math" w:hAnsi="Cambria Math"/>
                  </w:rPr>
                  <m:t>i</m:t>
                </m:r>
              </m:sub>
            </m:sSub>
          </m:e>
        </m:d>
        <m:r>
          <w:rPr>
            <w:rFonts w:ascii="Cambria Math" w:hAnsi="Cambria Math"/>
            <w:lang w:val="en-US"/>
          </w:rPr>
          <m:t xml:space="preserve">= </m:t>
        </m:r>
        <m:r>
          <w:rPr>
            <w:rFonts w:ascii="Cambria Math" w:hAnsi="Cambria Math"/>
          </w:rPr>
          <m:t>EJD</m:t>
        </m:r>
        <m:r>
          <w:rPr>
            <w:rFonts w:ascii="Cambria Math" w:hAnsi="Cambria Math"/>
            <w:lang w:val="en-US"/>
          </w:rPr>
          <m:t>∙</m:t>
        </m:r>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lang w:val="en-US"/>
          </w:rPr>
          <m:t xml:space="preserve">- </m:t>
        </m:r>
      </m:oMath>
      <w:r w:rsidR="00B44F53" w:rsidRPr="009F318B">
        <w:rPr>
          <w:lang w:val="en-US"/>
        </w:rPr>
        <w:tab/>
      </w:r>
      <m:oMath>
        <m:sSub>
          <m:sSubPr>
            <m:ctrlPr>
              <w:rPr>
                <w:rFonts w:ascii="Cambria Math" w:hAnsi="Cambria Math"/>
                <w:i/>
              </w:rPr>
            </m:ctrlPr>
          </m:sSubPr>
          <m:e>
            <m:r>
              <w:rPr>
                <w:rFonts w:ascii="Cambria Math" w:hAnsi="Cambria Math"/>
              </w:rPr>
              <m:t>MA</m:t>
            </m:r>
          </m:e>
          <m:sub>
            <m:r>
              <w:rPr>
                <w:rFonts w:ascii="Cambria Math" w:hAnsi="Cambria Math"/>
              </w:rPr>
              <m:t>i</m:t>
            </m:r>
          </m:sub>
        </m:sSub>
        <m:r>
          <w:rPr>
            <w:rFonts w:ascii="Cambria Math" w:hAnsi="Cambria Math"/>
            <w:lang w:val="en-US"/>
          </w:rPr>
          <m:t>+</m:t>
        </m:r>
        <m:sSub>
          <m:sSubPr>
            <m:ctrlPr>
              <w:rPr>
                <w:rFonts w:ascii="Cambria Math" w:hAnsi="Cambria Math"/>
                <w:i/>
              </w:rPr>
            </m:ctrlPr>
          </m:sSubPr>
          <m:e>
            <m:r>
              <w:rPr>
                <w:rFonts w:ascii="Cambria Math" w:hAnsi="Cambria Math"/>
              </w:rPr>
              <m:t>HP</m:t>
            </m:r>
          </m:e>
          <m:sub>
            <m:r>
              <w:rPr>
                <w:rFonts w:ascii="Cambria Math" w:hAnsi="Cambria Math"/>
              </w:rPr>
              <m:t>i</m:t>
            </m:r>
          </m:sub>
        </m:sSub>
      </m:oMath>
      <w:r w:rsidR="009E5AC7">
        <w:rPr>
          <w:lang w:val="en-US"/>
        </w:rPr>
        <w:tab/>
      </w:r>
      <w:r w:rsidR="009E5AC7">
        <w:rPr>
          <w:lang w:val="en-US"/>
        </w:rPr>
        <w:tab/>
        <w:t xml:space="preserve">      </w:t>
      </w:r>
      <w:r w:rsidR="009F318B" w:rsidRPr="009F318B">
        <w:rPr>
          <w:lang w:val="en-US"/>
        </w:rPr>
        <w:t xml:space="preserve">   </w:t>
      </w:r>
      <w:r w:rsidR="00B44F53" w:rsidRPr="009F318B">
        <w:rPr>
          <w:lang w:val="en-US"/>
        </w:rPr>
        <w:t>(1</w:t>
      </w:r>
      <w:r w:rsidR="009F318B" w:rsidRPr="009F318B">
        <w:rPr>
          <w:lang w:val="en-US"/>
        </w:rPr>
        <w:t>a</w:t>
      </w:r>
      <w:r w:rsidR="00B44F53" w:rsidRPr="009F318B">
        <w:rPr>
          <w:lang w:val="en-US"/>
        </w:rPr>
        <w:t>)</w:t>
      </w:r>
    </w:p>
    <w:p w:rsidR="00B44F53" w:rsidRPr="009F318B" w:rsidRDefault="00B44F53" w:rsidP="00FD5FFD">
      <w:pPr>
        <w:rPr>
          <w:lang w:val="en-US"/>
        </w:rPr>
      </w:pPr>
    </w:p>
    <w:p w:rsidR="00B44F53" w:rsidRDefault="00B44F53" w:rsidP="00FD5FFD">
      <w:r>
        <w:t>, hvor</w:t>
      </w:r>
    </w:p>
    <w:p w:rsidR="00B44F53" w:rsidRDefault="00B44F53" w:rsidP="00FD5FFD"/>
    <w:p w:rsidR="00B44F53" w:rsidRDefault="00371F4A" w:rsidP="00B44F53">
      <w:pPr>
        <w:pStyle w:val="Listeafsnit"/>
        <w:numPr>
          <w:ilvl w:val="0"/>
          <w:numId w:val="21"/>
        </w:numPr>
      </w:pP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00B44F53">
        <w:t>: Prisen for den overtagne andelsbolig nr. i (det valgte prisbegreb)</w:t>
      </w:r>
    </w:p>
    <w:p w:rsidR="00B44F53" w:rsidRDefault="00B44F53" w:rsidP="00B44F53">
      <w:pPr>
        <w:pStyle w:val="Listeafsnit"/>
        <w:numPr>
          <w:ilvl w:val="0"/>
          <w:numId w:val="21"/>
        </w:numPr>
      </w:pPr>
      <w:r w:rsidRPr="00012F5F">
        <w:t xml:space="preserve">EJD: Værdien af </w:t>
      </w:r>
      <w:r>
        <w:t xml:space="preserve">hele </w:t>
      </w:r>
      <w:r w:rsidRPr="00012F5F">
        <w:t>andelsboligforeningens ejendom</w:t>
      </w:r>
    </w:p>
    <w:p w:rsidR="00B44F53" w:rsidRPr="00676B63" w:rsidRDefault="00B44F53" w:rsidP="00B44F53">
      <w:pPr>
        <w:pStyle w:val="Listeafsnit"/>
        <w:numPr>
          <w:ilvl w:val="0"/>
          <w:numId w:val="21"/>
        </w:numPr>
        <w:rPr>
          <w:i/>
        </w:rPr>
      </w:pPr>
      <w:proofErr w:type="spellStart"/>
      <w:r w:rsidRPr="005A7BBF">
        <w:t>W</w:t>
      </w:r>
      <w:r w:rsidRPr="00676B63">
        <w:rPr>
          <w:vertAlign w:val="subscript"/>
        </w:rPr>
        <w:t>i</w:t>
      </w:r>
      <w:proofErr w:type="spellEnd"/>
      <w:r w:rsidRPr="005A7BBF">
        <w:t xml:space="preserve">: </w:t>
      </w:r>
      <w:r>
        <w:t>Fordelingstal</w:t>
      </w:r>
      <w:r w:rsidRPr="008D6C52">
        <w:t xml:space="preserve"> for </w:t>
      </w:r>
      <w:r>
        <w:t xml:space="preserve">andelsværdien </w:t>
      </w:r>
      <w:r w:rsidRPr="008D6C52">
        <w:t>tilknyttet ejerandel</w:t>
      </w:r>
      <w:r w:rsidRPr="00676B63">
        <w:rPr>
          <w:i/>
        </w:rPr>
        <w:t xml:space="preserve"> nr. i </w:t>
      </w:r>
    </w:p>
    <w:p w:rsidR="00B44F53" w:rsidRPr="00B608BC" w:rsidRDefault="00B44F53" w:rsidP="00B44F53">
      <w:pPr>
        <w:pStyle w:val="Listeafsnit"/>
        <w:numPr>
          <w:ilvl w:val="0"/>
          <w:numId w:val="21"/>
        </w:numPr>
      </w:pPr>
      <w:proofErr w:type="spellStart"/>
      <w:r w:rsidRPr="00012F5F">
        <w:t>MA</w:t>
      </w:r>
      <w:r w:rsidRPr="008C72D4">
        <w:rPr>
          <w:vertAlign w:val="subscript"/>
        </w:rPr>
        <w:t>i</w:t>
      </w:r>
      <w:proofErr w:type="spellEnd"/>
      <w:r w:rsidRPr="00012F5F">
        <w:t xml:space="preserve">: Maksimal andelsværdi for </w:t>
      </w:r>
      <w:r w:rsidRPr="00B608BC">
        <w:rPr>
          <w:i/>
        </w:rPr>
        <w:t xml:space="preserve">ejerandel </w:t>
      </w:r>
      <w:r>
        <w:rPr>
          <w:i/>
        </w:rPr>
        <w:t xml:space="preserve">nr. </w:t>
      </w:r>
      <w:r w:rsidRPr="00B608BC">
        <w:rPr>
          <w:i/>
        </w:rPr>
        <w:t>i</w:t>
      </w:r>
      <w:r w:rsidRPr="00B608BC">
        <w:t xml:space="preserve"> ekskl. </w:t>
      </w:r>
      <w:r>
        <w:t>boligspecifikke forbedringer</w:t>
      </w:r>
    </w:p>
    <w:p w:rsidR="00B44F53" w:rsidRPr="00012F5F" w:rsidRDefault="00B44F53" w:rsidP="00B44F53">
      <w:pPr>
        <w:pStyle w:val="Listeafsnit"/>
        <w:numPr>
          <w:ilvl w:val="0"/>
          <w:numId w:val="21"/>
        </w:numPr>
      </w:pPr>
      <w:r w:rsidRPr="00FB5FDD">
        <w:t xml:space="preserve">Faktisk handelspris for ejerandel </w:t>
      </w:r>
      <w:r w:rsidRPr="00676B63">
        <w:rPr>
          <w:i/>
        </w:rPr>
        <w:t xml:space="preserve">nr. i, </w:t>
      </w:r>
      <w:r w:rsidRPr="00C7069F">
        <w:t xml:space="preserve">inklusiv </w:t>
      </w:r>
      <w:r>
        <w:t xml:space="preserve">betaling for </w:t>
      </w:r>
      <w:r w:rsidRPr="00C7069F">
        <w:t xml:space="preserve">forbedringer i </w:t>
      </w:r>
      <w:r>
        <w:t>den overtagne andels</w:t>
      </w:r>
      <w:r w:rsidRPr="00C7069F">
        <w:t>bolig</w:t>
      </w:r>
    </w:p>
    <w:p w:rsidR="00B44F53" w:rsidRDefault="00B44F53" w:rsidP="00FD5FFD"/>
    <w:p w:rsidR="009F45C2" w:rsidRDefault="009F45C2" w:rsidP="00FD5FFD">
      <w:r>
        <w:t xml:space="preserve">Ved at indsætte </w:t>
      </w:r>
      <w:r w:rsidR="00371F4A">
        <w:t>værdierne</w:t>
      </w:r>
      <w:r>
        <w:t xml:space="preserve"> i ligning (1</w:t>
      </w:r>
      <w:r w:rsidR="009502DC">
        <w:t>a</w:t>
      </w:r>
      <w:r w:rsidR="00DE0CDB">
        <w:t>) få</w:t>
      </w:r>
      <w:r>
        <w:t>r vi, at:</w:t>
      </w:r>
    </w:p>
    <w:p w:rsidR="009F45C2" w:rsidRDefault="009F45C2" w:rsidP="00FD5FFD"/>
    <w:p w:rsidR="00CC2747" w:rsidRDefault="00371F4A" w:rsidP="00FD5FFD">
      <m:oMath>
        <m:sSub>
          <m:sSubPr>
            <m:ctrlPr>
              <w:rPr>
                <w:rFonts w:ascii="Cambria Math" w:hAnsi="Cambria Math"/>
                <w:i/>
              </w:rPr>
            </m:ctrlPr>
          </m:sSubPr>
          <m:e>
            <m:r>
              <w:rPr>
                <w:rFonts w:ascii="Cambria Math" w:hAnsi="Cambria Math"/>
              </w:rPr>
              <m:t>P</m:t>
            </m:r>
          </m:e>
          <m:sub>
            <m:r>
              <w:rPr>
                <w:rFonts w:ascii="Cambria Math" w:hAnsi="Cambria Math"/>
              </w:rPr>
              <m:t>i</m:t>
            </m:r>
          </m:sub>
        </m:sSub>
        <m:r>
          <w:rPr>
            <w:rFonts w:ascii="Cambria Math" w:hAnsi="Cambria Math"/>
          </w:rPr>
          <m:t>=10.000.000∙</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d>
          <m:dPr>
            <m:ctrlPr>
              <w:rPr>
                <w:rFonts w:ascii="Cambria Math" w:hAnsi="Cambria Math"/>
                <w:i/>
              </w:rPr>
            </m:ctrlPr>
          </m:dPr>
          <m:e>
            <m:r>
              <w:rPr>
                <w:rFonts w:ascii="Cambria Math" w:hAnsi="Cambria Math"/>
              </w:rPr>
              <m:t>1.000.000-925.000</m:t>
            </m:r>
          </m:e>
        </m:d>
        <m:r>
          <w:rPr>
            <w:rFonts w:ascii="Cambria Math" w:hAnsi="Cambria Math"/>
          </w:rPr>
          <m:t>=1.925.000 kr.</m:t>
        </m:r>
      </m:oMath>
      <w:r w:rsidR="009F318B">
        <w:tab/>
        <w:t xml:space="preserve">         (1b)</w:t>
      </w:r>
    </w:p>
    <w:p w:rsidR="008E0BB9" w:rsidRDefault="008E0BB9" w:rsidP="00FD5FFD"/>
    <w:p w:rsidR="009F318B" w:rsidRDefault="009F318B" w:rsidP="0059018C">
      <w:r w:rsidRPr="00026931">
        <w:t xml:space="preserve">Bemærk, at </w:t>
      </w:r>
      <w:r w:rsidR="00026931" w:rsidRPr="00026931">
        <w:t xml:space="preserve">prisen </w:t>
      </w:r>
      <w:r w:rsidR="00026931">
        <w:t xml:space="preserve">for andelsboligen (det valgte prisbegreb) på </w:t>
      </w:r>
      <w:r w:rsidR="00026931" w:rsidRPr="00026931">
        <w:t xml:space="preserve">1.925.000 kr. er højere end </w:t>
      </w:r>
      <w:r w:rsidR="00026931">
        <w:t xml:space="preserve">både </w:t>
      </w:r>
      <w:r w:rsidR="00026931" w:rsidRPr="00026931">
        <w:t>den maksimale andelsværdi (1. mio. kr.) og maksimalprisen i alt (1.050.000 kr.).</w:t>
      </w:r>
      <w:r w:rsidR="00FA085E">
        <w:t xml:space="preserve"> Det er prisen på andel</w:t>
      </w:r>
      <w:r w:rsidR="002F284C">
        <w:t>sboligen i (1a</w:t>
      </w:r>
      <w:r w:rsidR="00FA085E">
        <w:t>)</w:t>
      </w:r>
      <w:r w:rsidR="002F284C">
        <w:t xml:space="preserve"> og i eksemplet (1b)</w:t>
      </w:r>
      <w:r w:rsidR="00FA085E">
        <w:t>, der skal bruges til at beregne</w:t>
      </w:r>
      <w:r w:rsidR="00716219">
        <w:t xml:space="preserve"> prisindeks for andelsboliger.</w:t>
      </w:r>
    </w:p>
    <w:p w:rsidR="009F318B" w:rsidRDefault="009F318B" w:rsidP="0059018C">
      <w:pPr>
        <w:rPr>
          <w:b/>
        </w:rPr>
      </w:pPr>
    </w:p>
    <w:p w:rsidR="00310656" w:rsidRPr="00044374" w:rsidRDefault="005730A6" w:rsidP="00044374">
      <w:pPr>
        <w:pStyle w:val="Listeafsnit"/>
        <w:numPr>
          <w:ilvl w:val="0"/>
          <w:numId w:val="24"/>
        </w:numPr>
        <w:rPr>
          <w:b/>
        </w:rPr>
      </w:pPr>
      <w:r w:rsidRPr="00044374">
        <w:rPr>
          <w:b/>
        </w:rPr>
        <w:t>Traditionelt prisindeks</w:t>
      </w:r>
      <w:r w:rsidR="00310656" w:rsidRPr="00044374">
        <w:rPr>
          <w:b/>
        </w:rPr>
        <w:t>:</w:t>
      </w:r>
    </w:p>
    <w:p w:rsidR="00361B04" w:rsidRPr="00C87567" w:rsidRDefault="00C87567" w:rsidP="0059018C">
      <w:r>
        <w:t xml:space="preserve">Formålet med at beregne et prisindeks er at belyse udviklingen i priserne for et givet produkt mellem to perioder. </w:t>
      </w:r>
      <w:r w:rsidR="00D85419" w:rsidRPr="00C15395">
        <w:rPr>
          <w:rFonts w:cs="Arial"/>
        </w:rPr>
        <w:t>Fx kan man beregne udviklingen i et prisindeks for mælk ved hjælp af den relative ændring i literprisen på et bestemt mælkeprodukt</w:t>
      </w:r>
      <w:r>
        <w:rPr>
          <w:rFonts w:cs="Arial"/>
        </w:rPr>
        <w:t xml:space="preserve"> </w:t>
      </w:r>
      <w:r w:rsidR="00706284">
        <w:rPr>
          <w:rFonts w:cs="Arial"/>
        </w:rPr>
        <w:t>og gange</w:t>
      </w:r>
      <w:r>
        <w:rPr>
          <w:rFonts w:cs="Arial"/>
        </w:rPr>
        <w:t xml:space="preserve"> med indeksværdien i den forrige periode</w:t>
      </w:r>
      <w:r w:rsidR="00D85419" w:rsidRPr="00C15395">
        <w:rPr>
          <w:rFonts w:cs="Arial"/>
        </w:rPr>
        <w:t xml:space="preserve">. </w:t>
      </w:r>
      <w:r w:rsidR="00361B04">
        <w:t>Standard indek</w:t>
      </w:r>
      <w:r w:rsidR="006D368E">
        <w:t xml:space="preserve">sformlen </w:t>
      </w:r>
      <w:r w:rsidR="00361B04">
        <w:t>for matchede produkter</w:t>
      </w:r>
      <w:r w:rsidR="006D368E">
        <w:t xml:space="preserve"> er givet ved</w:t>
      </w:r>
      <w:r w:rsidR="00361B04">
        <w:t>:</w:t>
      </w:r>
    </w:p>
    <w:p w:rsidR="00C87567" w:rsidRDefault="00C87567" w:rsidP="0059018C">
      <w:pPr>
        <w:rPr>
          <w:rFonts w:cs="Arial"/>
        </w:rPr>
      </w:pPr>
    </w:p>
    <w:p w:rsidR="00D85419" w:rsidRPr="00C87567" w:rsidRDefault="00371F4A" w:rsidP="0059018C">
      <w:pPr>
        <w:rPr>
          <w:rFonts w:cs="Arial"/>
        </w:rPr>
      </w:pPr>
      <m:oMath>
        <m:sSub>
          <m:sSubPr>
            <m:ctrlPr>
              <w:rPr>
                <w:rFonts w:ascii="Cambria Math" w:hAnsi="Cambria Math" w:cs="Arial"/>
              </w:rPr>
            </m:ctrlPr>
          </m:sSubPr>
          <m:e>
            <m:r>
              <m:rPr>
                <m:sty m:val="p"/>
              </m:rPr>
              <w:rPr>
                <w:rFonts w:ascii="Cambria Math" w:hAnsi="Cambria Math" w:cs="Arial"/>
              </w:rPr>
              <m:t>I</m:t>
            </m:r>
          </m:e>
          <m:sub>
            <m:r>
              <m:rPr>
                <m:sty m:val="p"/>
              </m:rPr>
              <w:rPr>
                <w:rFonts w:ascii="Cambria Math" w:hAnsi="Cambria Math" w:cs="Arial"/>
              </w:rPr>
              <m:t>t</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P</m:t>
                </m:r>
              </m:e>
              <m:sub>
                <m:r>
                  <m:rPr>
                    <m:sty m:val="p"/>
                  </m:rPr>
                  <w:rPr>
                    <w:rFonts w:ascii="Cambria Math" w:hAnsi="Cambria Math" w:cs="Arial"/>
                  </w:rPr>
                  <m:t>t</m:t>
                </m:r>
              </m:sub>
            </m:sSub>
          </m:num>
          <m:den>
            <m:sSub>
              <m:sSubPr>
                <m:ctrlPr>
                  <w:rPr>
                    <w:rFonts w:ascii="Cambria Math" w:hAnsi="Cambria Math" w:cs="Arial"/>
                  </w:rPr>
                </m:ctrlPr>
              </m:sSubPr>
              <m:e>
                <m:r>
                  <m:rPr>
                    <m:sty m:val="p"/>
                  </m:rPr>
                  <w:rPr>
                    <w:rFonts w:ascii="Cambria Math" w:hAnsi="Cambria Math" w:cs="Arial"/>
                  </w:rPr>
                  <m:t>P</m:t>
                </m:r>
              </m:e>
              <m:sub>
                <m:r>
                  <m:rPr>
                    <m:sty m:val="p"/>
                  </m:rPr>
                  <w:rPr>
                    <w:rFonts w:ascii="Cambria Math" w:hAnsi="Cambria Math" w:cs="Arial"/>
                  </w:rPr>
                  <m:t>t-1</m:t>
                </m:r>
              </m:sub>
            </m:sSub>
          </m:den>
        </m:f>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I</m:t>
            </m:r>
          </m:e>
          <m:sub>
            <m:r>
              <m:rPr>
                <m:sty m:val="p"/>
              </m:rPr>
              <w:rPr>
                <w:rFonts w:ascii="Cambria Math" w:hAnsi="Cambria Math" w:cs="Arial"/>
              </w:rPr>
              <m:t>t-1</m:t>
            </m:r>
          </m:sub>
        </m:sSub>
      </m:oMath>
      <w:r w:rsidR="00C87567">
        <w:rPr>
          <w:rFonts w:cs="Arial"/>
        </w:rPr>
        <w:tab/>
      </w:r>
      <w:r w:rsidR="00C87567">
        <w:rPr>
          <w:rFonts w:cs="Arial"/>
        </w:rPr>
        <w:tab/>
      </w:r>
      <w:r w:rsidR="00D85419">
        <w:tab/>
      </w:r>
      <w:r w:rsidR="00D85419">
        <w:tab/>
      </w:r>
      <w:r w:rsidR="00D85419">
        <w:tab/>
        <w:t xml:space="preserve">        </w:t>
      </w:r>
      <w:r w:rsidR="00F86F04">
        <w:t xml:space="preserve">   (2</w:t>
      </w:r>
      <w:r w:rsidR="00C87567">
        <w:t>)</w:t>
      </w:r>
    </w:p>
    <w:p w:rsidR="00D85419" w:rsidRPr="00C15395" w:rsidRDefault="00D85419" w:rsidP="0059018C"/>
    <w:p w:rsidR="00D85419" w:rsidRPr="00C15395" w:rsidRDefault="00D85419" w:rsidP="0059018C">
      <w:r w:rsidRPr="00C15395">
        <w:t>hvor,</w:t>
      </w:r>
    </w:p>
    <w:p w:rsidR="00D85419" w:rsidRPr="00C15395" w:rsidRDefault="00D85419" w:rsidP="0059018C"/>
    <w:p w:rsidR="00D85419" w:rsidRPr="00C15395" w:rsidRDefault="00371F4A" w:rsidP="0059018C">
      <w:pPr>
        <w:pStyle w:val="Listeafsnit"/>
        <w:numPr>
          <w:ilvl w:val="0"/>
          <w:numId w:val="19"/>
        </w:numPr>
      </w:pP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t</m:t>
            </m:r>
          </m:sub>
        </m:sSub>
      </m:oMath>
      <w:r w:rsidR="00D85419" w:rsidRPr="00C15395">
        <w:t xml:space="preserve">: </w:t>
      </w:r>
      <w:r w:rsidR="00C87567">
        <w:t>Indeks i periode t</w:t>
      </w:r>
    </w:p>
    <w:p w:rsidR="00D85419" w:rsidRPr="00C15395" w:rsidRDefault="00371F4A" w:rsidP="0059018C">
      <w:pPr>
        <w:pStyle w:val="Listeafsnit"/>
        <w:numPr>
          <w:ilvl w:val="0"/>
          <w:numId w:val="19"/>
        </w:num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t</m:t>
            </m:r>
          </m:sub>
        </m:sSub>
      </m:oMath>
      <w:r w:rsidR="00D85419" w:rsidRPr="00C15395">
        <w:t xml:space="preserve">: Prisen på et </w:t>
      </w:r>
      <w:r w:rsidR="00706284">
        <w:t xml:space="preserve">bestemt </w:t>
      </w:r>
      <w:r w:rsidR="00D85419" w:rsidRPr="00C15395">
        <w:t>produkt i periode t</w:t>
      </w:r>
    </w:p>
    <w:p w:rsidR="00D85419" w:rsidRPr="00C15395" w:rsidRDefault="00D85419" w:rsidP="0059018C"/>
    <w:p w:rsidR="00C87567" w:rsidRDefault="00D85419" w:rsidP="0059018C">
      <w:r w:rsidRPr="00C15395">
        <w:t xml:space="preserve">Priserne i tælleren og nævneren </w:t>
      </w:r>
      <w:r>
        <w:t>i</w:t>
      </w:r>
      <w:r w:rsidR="00F86F04">
        <w:t xml:space="preserve"> ligning (2</w:t>
      </w:r>
      <w:r w:rsidRPr="00C15395">
        <w:t xml:space="preserve">) skal vedrøre et </w:t>
      </w:r>
      <w:r w:rsidR="00330558">
        <w:t>produkt</w:t>
      </w:r>
      <w:r w:rsidRPr="00C15395">
        <w:t xml:space="preserve"> af ”samme kvalitet” for at prisindekset bliver retvisende. </w:t>
      </w:r>
      <w:r w:rsidR="00330558">
        <w:t xml:space="preserve">Hvis fx </w:t>
      </w:r>
      <w:r w:rsidR="00706284">
        <w:t>mælke</w:t>
      </w:r>
      <w:r w:rsidR="00330558">
        <w:t xml:space="preserve">prisen i periode t er opgjort pr. liter, mens </w:t>
      </w:r>
      <w:r w:rsidR="00706284">
        <w:t>mælke</w:t>
      </w:r>
      <w:r w:rsidR="00330558">
        <w:t xml:space="preserve">prisen i den forrige periode er opgjort pr. </w:t>
      </w:r>
      <w:r w:rsidR="008177F3">
        <w:t>1/</w:t>
      </w:r>
      <w:r w:rsidR="00330558">
        <w:t xml:space="preserve">2 liter, kan man ikke direkte sammenligne de to priser, fordi der ikke er tale om ”samme kvalitet”. For </w:t>
      </w:r>
      <w:r w:rsidR="0059018C">
        <w:t xml:space="preserve">meningsfuldt </w:t>
      </w:r>
      <w:r w:rsidR="00330558">
        <w:t>at kunne sammenligne de to priser</w:t>
      </w:r>
      <w:r w:rsidR="00D470E2">
        <w:t>,</w:t>
      </w:r>
      <w:r w:rsidR="00330558">
        <w:t xml:space="preserve"> skal de være opgjort </w:t>
      </w:r>
      <w:r w:rsidR="004B51DD">
        <w:t>i</w:t>
      </w:r>
      <w:r w:rsidR="00330558">
        <w:t xml:space="preserve"> den samme mængde</w:t>
      </w:r>
      <w:r w:rsidR="0059018C">
        <w:t>enhed</w:t>
      </w:r>
      <w:r w:rsidR="00330558">
        <w:t>, fx literpri</w:t>
      </w:r>
      <w:r w:rsidR="00D470E2">
        <w:t>s</w:t>
      </w:r>
      <w:r w:rsidR="00330558">
        <w:t>. Ellers vil prisindekset variere alene på baggrund af kvalitetsmæssige forskelle i mængdeopgørelsen</w:t>
      </w:r>
      <w:r w:rsidR="0059018C">
        <w:t xml:space="preserve"> og det er ikke meningen.</w:t>
      </w:r>
    </w:p>
    <w:p w:rsidR="00E476DB" w:rsidRDefault="00E476DB" w:rsidP="0059018C"/>
    <w:p w:rsidR="00330558" w:rsidRPr="00044374" w:rsidRDefault="0059018C" w:rsidP="00044374">
      <w:pPr>
        <w:pStyle w:val="Listeafsnit"/>
        <w:numPr>
          <w:ilvl w:val="0"/>
          <w:numId w:val="24"/>
        </w:numPr>
        <w:rPr>
          <w:b/>
        </w:rPr>
      </w:pPr>
      <w:r w:rsidRPr="00044374">
        <w:rPr>
          <w:b/>
        </w:rPr>
        <w:t>Boligprisindeks:</w:t>
      </w:r>
    </w:p>
    <w:p w:rsidR="00D06173" w:rsidRDefault="0059018C" w:rsidP="00D470E2">
      <w:r>
        <w:t xml:space="preserve">Beregning af boligprisindeks kompliceres af, at boliger typisk er meget forskelligartede i form af forskelle i opførelsesår, byggematerialer, arkitektur, beliggenhed, vedligeholdelsesstand og meget andet. Det medfører, at de handlede boligers kvalitet varierer fra periode til periode. For at kunne foretage en meningsfuld sammenligning af boligpriserne over tid, er man nødt til at kvalitetskorrigere boligpriserne. </w:t>
      </w:r>
      <w:r w:rsidR="00361B04">
        <w:t>Der findes forskellige metoder, der kan kvalitetskorrigere boligpriserne</w:t>
      </w:r>
      <w:r w:rsidR="009B6B05">
        <w:t>,</w:t>
      </w:r>
      <w:r w:rsidR="00361B04">
        <w:t xml:space="preserve"> så de bliver </w:t>
      </w:r>
      <w:r w:rsidR="009B6B05">
        <w:t xml:space="preserve">nogenlunde </w:t>
      </w:r>
      <w:r w:rsidR="00361B04">
        <w:t xml:space="preserve">sammenlignelige. </w:t>
      </w:r>
    </w:p>
    <w:p w:rsidR="002F284C" w:rsidRDefault="002F284C" w:rsidP="00D470E2"/>
    <w:p w:rsidR="002A67CE" w:rsidRDefault="00361B04" w:rsidP="002A67CE">
      <w:r>
        <w:t xml:space="preserve">Til brug for prisindeks for andelsboliger har Danmarks Statistik valgt at tage udgangspunkt i </w:t>
      </w:r>
      <w:r w:rsidR="009B6B05">
        <w:t xml:space="preserve">et </w:t>
      </w:r>
      <w:proofErr w:type="spellStart"/>
      <w:r w:rsidR="009B6B05" w:rsidRPr="00F85A02">
        <w:t>hedonisk</w:t>
      </w:r>
      <w:proofErr w:type="spellEnd"/>
      <w:r w:rsidR="009B6B05" w:rsidRPr="00F85A02">
        <w:t xml:space="preserve"> basere</w:t>
      </w:r>
      <w:r w:rsidR="009B6B05">
        <w:t>t</w:t>
      </w:r>
      <w:r w:rsidR="009B6B05" w:rsidRPr="00F85A02">
        <w:t xml:space="preserve"> prisindeks</w:t>
      </w:r>
      <w:r w:rsidR="009B6B05">
        <w:t>. Tilgangen er velegnet, når de anvendte priser skal kvalitetskorrigeres for flere forskellige ting, som det netop er tilfældet for priserne på andelsboliger</w:t>
      </w:r>
      <w:r w:rsidR="009B6B05" w:rsidRPr="00F85A02">
        <w:t>.</w:t>
      </w:r>
      <w:r w:rsidR="009B6B05">
        <w:t xml:space="preserve"> </w:t>
      </w:r>
      <w:r>
        <w:t>Når D</w:t>
      </w:r>
      <w:r w:rsidR="00015CEF">
        <w:t>anmarks Statistik</w:t>
      </w:r>
      <w:r>
        <w:t xml:space="preserve"> ikke bruger </w:t>
      </w:r>
      <w:proofErr w:type="spellStart"/>
      <w:r>
        <w:t>hedonisk</w:t>
      </w:r>
      <w:proofErr w:type="spellEnd"/>
      <w:r>
        <w:t xml:space="preserve"> prisindeks for ejerboliger, er det fordi man kan bruge ejendomsvurderingerne til at kvalitetskorrigere boligprisen,</w:t>
      </w:r>
      <w:r w:rsidRPr="00F85A02">
        <w:t xml:space="preserve"> men </w:t>
      </w:r>
      <w:r>
        <w:t>den mulighed fo</w:t>
      </w:r>
      <w:r w:rsidR="002F284C">
        <w:t xml:space="preserve">religger ikke for andelsboliger, da </w:t>
      </w:r>
      <w:r w:rsidR="001E6023">
        <w:t>den offentlige ejendomsvurdering</w:t>
      </w:r>
      <w:r w:rsidR="002F284C">
        <w:t xml:space="preserve"> går på hele andelsboligforeningens ejendom og ikke de enkelte andelsboliger.</w:t>
      </w:r>
      <w:r w:rsidR="001D65DF">
        <w:t xml:space="preserve"> Desuden vil køberne af et andelsbevis også overtage en del af andelsboligforeningens gæld, som man sagtens kan forestille sig bliver nedvæltet i prisen på andelsboligen i (1a). </w:t>
      </w:r>
      <w:r w:rsidR="00A03EBD">
        <w:t>Det betyder, at p</w:t>
      </w:r>
      <w:r w:rsidR="001D65DF">
        <w:t xml:space="preserve">risindeks for andelsboliger </w:t>
      </w:r>
      <w:r w:rsidR="00A03EBD">
        <w:t>skal</w:t>
      </w:r>
      <w:r w:rsidR="001D65DF">
        <w:t xml:space="preserve"> tage højde for flere ting end prisindeks for ejerboliger, og til dette </w:t>
      </w:r>
      <w:r w:rsidR="00A03EBD">
        <w:t xml:space="preserve">formål </w:t>
      </w:r>
      <w:r w:rsidR="001D65DF">
        <w:t xml:space="preserve">er </w:t>
      </w:r>
      <w:proofErr w:type="spellStart"/>
      <w:r w:rsidR="001D65DF">
        <w:t>hedonisk</w:t>
      </w:r>
      <w:proofErr w:type="spellEnd"/>
      <w:r w:rsidR="001D65DF">
        <w:t xml:space="preserve"> pris</w:t>
      </w:r>
      <w:r w:rsidR="00A03EBD">
        <w:t>indeks den mest velegnede</w:t>
      </w:r>
      <w:r w:rsidR="001D65DF">
        <w:t xml:space="preserve"> metode.</w:t>
      </w:r>
    </w:p>
    <w:p w:rsidR="00015CEF" w:rsidRDefault="00015CEF" w:rsidP="002A67CE"/>
    <w:p w:rsidR="00E476DB" w:rsidRDefault="00E476DB" w:rsidP="002A67CE"/>
    <w:p w:rsidR="002A67CE" w:rsidRPr="00044374" w:rsidRDefault="002A67CE" w:rsidP="00044374">
      <w:pPr>
        <w:pStyle w:val="Listeafsnit"/>
        <w:numPr>
          <w:ilvl w:val="0"/>
          <w:numId w:val="24"/>
        </w:numPr>
        <w:rPr>
          <w:b/>
        </w:rPr>
      </w:pPr>
      <w:proofErr w:type="spellStart"/>
      <w:r w:rsidRPr="00044374">
        <w:rPr>
          <w:b/>
        </w:rPr>
        <w:lastRenderedPageBreak/>
        <w:t>Hedonisk</w:t>
      </w:r>
      <w:proofErr w:type="spellEnd"/>
      <w:r w:rsidRPr="00044374">
        <w:rPr>
          <w:b/>
        </w:rPr>
        <w:t xml:space="preserve"> prisindeks:</w:t>
      </w:r>
    </w:p>
    <w:p w:rsidR="002A67CE" w:rsidRDefault="002A67CE" w:rsidP="002A67CE">
      <w:r>
        <w:t xml:space="preserve">De grundlæggende trin til at </w:t>
      </w:r>
      <w:proofErr w:type="spellStart"/>
      <w:r w:rsidR="00BD5D82">
        <w:t>konstuere</w:t>
      </w:r>
      <w:proofErr w:type="spellEnd"/>
      <w:r>
        <w:t xml:space="preserve"> et </w:t>
      </w:r>
      <w:proofErr w:type="spellStart"/>
      <w:r>
        <w:t>hedonisk</w:t>
      </w:r>
      <w:proofErr w:type="spellEnd"/>
      <w:r>
        <w:t xml:space="preserve"> prisindeks</w:t>
      </w:r>
      <w:r w:rsidR="00BD5D82">
        <w:t xml:space="preserve"> for andelsboliger</w:t>
      </w:r>
      <w:r>
        <w:t xml:space="preserve"> består af </w:t>
      </w:r>
      <w:r w:rsidR="00944B58">
        <w:t>fire</w:t>
      </w:r>
      <w:r>
        <w:t xml:space="preserve"> trin:</w:t>
      </w:r>
    </w:p>
    <w:p w:rsidR="002A67CE" w:rsidRDefault="002A67CE" w:rsidP="002A67CE"/>
    <w:p w:rsidR="00944B58" w:rsidRDefault="002A67CE" w:rsidP="00044374">
      <w:pPr>
        <w:pStyle w:val="Listeafsnit"/>
        <w:numPr>
          <w:ilvl w:val="0"/>
          <w:numId w:val="20"/>
        </w:numPr>
      </w:pPr>
      <w:r w:rsidRPr="00044374">
        <w:rPr>
          <w:b/>
        </w:rPr>
        <w:t>Dataindsamling:</w:t>
      </w:r>
      <w:r>
        <w:t xml:space="preserve"> Indsamling af data om</w:t>
      </w:r>
      <w:r w:rsidR="00BF79E5">
        <w:t xml:space="preserve"> faktiske</w:t>
      </w:r>
      <w:r>
        <w:t xml:space="preserve"> salgspriser og relevante kvalitetsfaktorer stammer fra </w:t>
      </w:r>
      <w:hyperlink r:id="rId16" w:history="1">
        <w:r w:rsidRPr="004A2D8F">
          <w:rPr>
            <w:rStyle w:val="Hyperlink"/>
          </w:rPr>
          <w:t>nøgleoplysningsskema om andelsbolig til salg</w:t>
        </w:r>
      </w:hyperlink>
      <w:r w:rsidR="00EC70D6">
        <w:rPr>
          <w:rStyle w:val="Fodnotehenvisning"/>
        </w:rPr>
        <w:footnoteReference w:id="1"/>
      </w:r>
      <w:r>
        <w:t xml:space="preserve">, som </w:t>
      </w:r>
      <w:r w:rsidR="004A2D8F">
        <w:t xml:space="preserve">løbende indsamles via </w:t>
      </w:r>
      <w:hyperlink r:id="rId17" w:history="1">
        <w:r w:rsidR="004A2D8F" w:rsidRPr="004A2D8F">
          <w:rPr>
            <w:rStyle w:val="Hyperlink"/>
          </w:rPr>
          <w:t>andelsboliginfo.dk</w:t>
        </w:r>
      </w:hyperlink>
      <w:r w:rsidR="004A2D8F">
        <w:t xml:space="preserve"> og hvert kvartal videresendes til Danmarks Statistik. </w:t>
      </w:r>
    </w:p>
    <w:p w:rsidR="002A67CE" w:rsidRDefault="00944B58" w:rsidP="00944B58">
      <w:pPr>
        <w:pStyle w:val="Listeafsnit"/>
        <w:numPr>
          <w:ilvl w:val="0"/>
          <w:numId w:val="20"/>
        </w:numPr>
      </w:pPr>
      <w:r>
        <w:rPr>
          <w:b/>
        </w:rPr>
        <w:t>Databehandling:</w:t>
      </w:r>
      <w:r>
        <w:t xml:space="preserve"> </w:t>
      </w:r>
      <w:r w:rsidR="00B22818">
        <w:t>Sammenkøring og f</w:t>
      </w:r>
      <w:r w:rsidR="004A2D8F">
        <w:t>ejlsøgning af data sker</w:t>
      </w:r>
      <w:r w:rsidR="00EC70D6">
        <w:t xml:space="preserve"> </w:t>
      </w:r>
      <w:r w:rsidR="004A2D8F">
        <w:t>hos Danmarks Statistik, hvor eventuelle fejlindberetninger bliver frasorteret</w:t>
      </w:r>
      <w:r w:rsidR="00EC70D6">
        <w:t>,</w:t>
      </w:r>
      <w:r w:rsidR="004A2D8F">
        <w:t xml:space="preserve"> </w:t>
      </w:r>
      <w:r w:rsidR="00EC70D6">
        <w:t>så de ikke indgår i</w:t>
      </w:r>
      <w:r w:rsidR="004A2D8F">
        <w:t xml:space="preserve"> beregning</w:t>
      </w:r>
      <w:r w:rsidR="00EC70D6">
        <w:t>en</w:t>
      </w:r>
      <w:r w:rsidR="004A2D8F">
        <w:t xml:space="preserve"> af prisindeks for andelsboliger.</w:t>
      </w:r>
    </w:p>
    <w:p w:rsidR="008E1650" w:rsidRPr="0063053B" w:rsidRDefault="002A67CE" w:rsidP="00944B58">
      <w:pPr>
        <w:pStyle w:val="Listeafsnit"/>
        <w:numPr>
          <w:ilvl w:val="0"/>
          <w:numId w:val="20"/>
        </w:numPr>
        <w:rPr>
          <w:b/>
        </w:rPr>
      </w:pPr>
      <w:r w:rsidRPr="000B7FD6">
        <w:rPr>
          <w:b/>
        </w:rPr>
        <w:t>Regression:</w:t>
      </w:r>
      <w:r w:rsidR="00944B58">
        <w:rPr>
          <w:b/>
        </w:rPr>
        <w:t xml:space="preserve"> </w:t>
      </w:r>
      <w:r w:rsidR="00944B58" w:rsidRPr="00944B58">
        <w:t>Udføre</w:t>
      </w:r>
      <w:r w:rsidR="00944B58">
        <w:t>lse af</w:t>
      </w:r>
      <w:r w:rsidR="00944B58" w:rsidRPr="00944B58">
        <w:t xml:space="preserve"> en </w:t>
      </w:r>
      <w:proofErr w:type="spellStart"/>
      <w:r w:rsidR="00944B58" w:rsidRPr="00944B58">
        <w:t>hedonisk</w:t>
      </w:r>
      <w:proofErr w:type="spellEnd"/>
      <w:r w:rsidR="00944B58" w:rsidRPr="00944B58">
        <w:t xml:space="preserve"> </w:t>
      </w:r>
      <w:r w:rsidR="00944B58">
        <w:t xml:space="preserve">lineær </w:t>
      </w:r>
      <w:r w:rsidR="00944B58" w:rsidRPr="00944B58">
        <w:t xml:space="preserve">regression, hvor prisen på </w:t>
      </w:r>
      <w:r w:rsidR="00944B58">
        <w:t>andelsboligen i ligning (1a) anvendes som den afhængige variabel og kvalitetsfaktor</w:t>
      </w:r>
      <w:r w:rsidR="00773A81">
        <w:t xml:space="preserve">erne som de uafhængige </w:t>
      </w:r>
      <w:r w:rsidR="00622B25">
        <w:t xml:space="preserve">(forklarende) </w:t>
      </w:r>
      <w:r w:rsidR="00773A81">
        <w:t>variable</w:t>
      </w:r>
      <w:r w:rsidR="00944B58">
        <w:t>.</w:t>
      </w:r>
      <w:r w:rsidR="00944B58" w:rsidRPr="00944B58">
        <w:t xml:space="preserve"> Dette giver en ligning, der beskriver, hvordan priserne på andelsboliger er påvirket af de forskellige </w:t>
      </w:r>
      <w:r w:rsidR="00944B58">
        <w:t>kvalitetsfaktorer.</w:t>
      </w:r>
      <w:r w:rsidR="00B768A2">
        <w:t xml:space="preserve"> </w:t>
      </w:r>
    </w:p>
    <w:p w:rsidR="0063053B" w:rsidRDefault="0063053B" w:rsidP="0063053B">
      <w:pPr>
        <w:pStyle w:val="Listeafsnit"/>
        <w:numPr>
          <w:ilvl w:val="0"/>
          <w:numId w:val="20"/>
        </w:numPr>
        <w:jc w:val="left"/>
        <w:rPr>
          <w:b/>
        </w:rPr>
      </w:pPr>
      <w:r w:rsidRPr="000B7FD6">
        <w:rPr>
          <w:b/>
        </w:rPr>
        <w:t>Prisindeksberegning</w:t>
      </w:r>
      <w:r>
        <w:rPr>
          <w:b/>
        </w:rPr>
        <w:t xml:space="preserve">: </w:t>
      </w:r>
      <w:r w:rsidR="00010501">
        <w:t xml:space="preserve">Resultatet af regressionen </w:t>
      </w:r>
      <w:r w:rsidR="00BB3EFF">
        <w:t xml:space="preserve">i c) </w:t>
      </w:r>
      <w:r w:rsidR="00010501">
        <w:t xml:space="preserve">skal bruges til at beregne et </w:t>
      </w:r>
      <w:proofErr w:type="spellStart"/>
      <w:r w:rsidR="00010501">
        <w:t>hedonisk</w:t>
      </w:r>
      <w:proofErr w:type="spellEnd"/>
      <w:r w:rsidR="00010501">
        <w:t xml:space="preserve"> prisindeks. Der findes flere forskellige metoder, som kort beskrives nedenfor.</w:t>
      </w:r>
    </w:p>
    <w:p w:rsidR="0063053B" w:rsidRPr="00010501" w:rsidRDefault="0063053B" w:rsidP="0063053B">
      <w:pPr>
        <w:rPr>
          <w:b/>
        </w:rPr>
      </w:pPr>
    </w:p>
    <w:p w:rsidR="0063053B" w:rsidRPr="0063053B" w:rsidRDefault="00044374" w:rsidP="0063053B">
      <w:r>
        <w:t>Nedenfor beskrives punkt c og d</w:t>
      </w:r>
      <w:r w:rsidR="0063053B" w:rsidRPr="0063053B">
        <w:t xml:space="preserve"> lidt nærmere:</w:t>
      </w:r>
    </w:p>
    <w:p w:rsidR="00945519" w:rsidRDefault="00945519" w:rsidP="00945519">
      <w:pPr>
        <w:rPr>
          <w:b/>
        </w:rPr>
      </w:pPr>
    </w:p>
    <w:p w:rsidR="0063053B" w:rsidRDefault="00A53A6F" w:rsidP="00945519">
      <w:pPr>
        <w:rPr>
          <w:b/>
        </w:rPr>
      </w:pPr>
      <w:r>
        <w:rPr>
          <w:b/>
        </w:rPr>
        <w:t>Ad. c)</w:t>
      </w:r>
      <w:r w:rsidR="0063053B">
        <w:rPr>
          <w:b/>
        </w:rPr>
        <w:t xml:space="preserve"> Regression:</w:t>
      </w:r>
    </w:p>
    <w:p w:rsidR="00572E83" w:rsidRDefault="00572E83" w:rsidP="00AB2764">
      <w:r w:rsidRPr="00B768A2">
        <w:t xml:space="preserve">Regressionsanalyse er en </w:t>
      </w:r>
      <w:r>
        <w:t xml:space="preserve">avanceret statistisk metode og </w:t>
      </w:r>
      <w:r w:rsidR="007B2868">
        <w:t>der</w:t>
      </w:r>
      <w:r w:rsidR="00044374">
        <w:t xml:space="preserve"> </w:t>
      </w:r>
      <w:r>
        <w:t xml:space="preserve">henvises </w:t>
      </w:r>
      <w:r w:rsidR="00CF1468">
        <w:t>til diverse lærebøger,</w:t>
      </w:r>
      <w:r>
        <w:t xml:space="preserve"> </w:t>
      </w:r>
      <w:r w:rsidR="00044374">
        <w:t>for en introduktion til</w:t>
      </w:r>
      <w:r>
        <w:t xml:space="preserve"> emnet</w:t>
      </w:r>
      <w:r w:rsidR="00082FBF">
        <w:t xml:space="preserve">, se fx litteraturlisten bagerst i denne </w:t>
      </w:r>
      <w:r w:rsidR="00371F4A">
        <w:t>artikel</w:t>
      </w:r>
      <w:r>
        <w:t xml:space="preserve">. Nedenfor </w:t>
      </w:r>
      <w:r w:rsidR="00B22818">
        <w:t>beskrives regressionsanalyse</w:t>
      </w:r>
      <w:r w:rsidR="007B2868">
        <w:t xml:space="preserve"> </w:t>
      </w:r>
      <w:r w:rsidR="00B22818">
        <w:t>kun ganske kort.</w:t>
      </w:r>
    </w:p>
    <w:p w:rsidR="003C7D07" w:rsidRDefault="003C7D07" w:rsidP="00572E83">
      <w:pPr>
        <w:spacing w:line="360" w:lineRule="auto"/>
      </w:pPr>
    </w:p>
    <w:p w:rsidR="00CF1468" w:rsidRPr="00CF1468" w:rsidRDefault="00CF1468" w:rsidP="00572E83">
      <w:pPr>
        <w:spacing w:line="360" w:lineRule="auto"/>
        <w:rPr>
          <w:b/>
        </w:rPr>
      </w:pPr>
      <w:r w:rsidRPr="00CF1468">
        <w:rPr>
          <w:b/>
        </w:rPr>
        <w:t>Eksempel:</w:t>
      </w:r>
    </w:p>
    <w:p w:rsidR="00CF1468" w:rsidRDefault="00CF1468" w:rsidP="00AB2764">
      <w:r w:rsidRPr="00CF1468">
        <w:t xml:space="preserve">Betragt punktdiagrammet </w:t>
      </w:r>
      <w:r w:rsidR="00E3548E" w:rsidRPr="00CF1468">
        <w:t xml:space="preserve">nedenfor </w:t>
      </w:r>
      <w:r w:rsidRPr="00CF1468">
        <w:t xml:space="preserve">i figur 1, som viser </w:t>
      </w:r>
      <w:r>
        <w:t xml:space="preserve">en hypotetisk </w:t>
      </w:r>
      <w:r w:rsidR="00FE6BAF">
        <w:t>fordeling</w:t>
      </w:r>
      <w:r w:rsidRPr="00CF1468">
        <w:t xml:space="preserve"> </w:t>
      </w:r>
      <w:r>
        <w:t xml:space="preserve">over </w:t>
      </w:r>
      <w:r w:rsidR="0020008C">
        <w:t xml:space="preserve">salgspriser for </w:t>
      </w:r>
      <w:r>
        <w:t xml:space="preserve">andelsboliger </w:t>
      </w:r>
      <w:r w:rsidR="0020008C">
        <w:t xml:space="preserve">i et </w:t>
      </w:r>
      <w:r w:rsidR="00A56768">
        <w:t xml:space="preserve">bestemt kvartal </w:t>
      </w:r>
      <w:r>
        <w:t>for bestemt</w:t>
      </w:r>
      <w:r w:rsidR="00A56768">
        <w:t>e</w:t>
      </w:r>
      <w:r>
        <w:t xml:space="preserve"> boligarealer</w:t>
      </w:r>
      <w:r w:rsidR="00A56768">
        <w:t xml:space="preserve"> (60,80,100,120)</w:t>
      </w:r>
      <w:r>
        <w:t>.</w:t>
      </w:r>
      <w:r w:rsidR="00A56768">
        <w:t xml:space="preserve"> For hvert af de fire boligarealer er der en fordeling over salgspriserne</w:t>
      </w:r>
      <w:r w:rsidR="003F00A6">
        <w:t>.</w:t>
      </w:r>
      <w:r w:rsidR="00BB3EFF">
        <w:t xml:space="preserve"> </w:t>
      </w:r>
      <w:r w:rsidR="00A56768">
        <w:t>Det er tydeligt at se</w:t>
      </w:r>
      <w:r w:rsidR="00BB3EFF">
        <w:t xml:space="preserve"> i figur 1</w:t>
      </w:r>
      <w:r w:rsidR="00A56768">
        <w:t>, at alle boligerne med det samme boligareal, fx 60 m2,</w:t>
      </w:r>
      <w:r w:rsidR="000A1CD3">
        <w:t xml:space="preserve"> ikke</w:t>
      </w:r>
      <w:r w:rsidR="00A56768">
        <w:t xml:space="preserve"> har den samme salgspris. </w:t>
      </w:r>
      <w:r w:rsidR="0020008C">
        <w:t>Derimod varierer s</w:t>
      </w:r>
      <w:r w:rsidR="00A56768">
        <w:t>algspriserne inden for hvert af boligarealer</w:t>
      </w:r>
      <w:r w:rsidR="00A53A6F">
        <w:t>ne</w:t>
      </w:r>
      <w:r w:rsidR="003F00A6">
        <w:t xml:space="preserve">. Der er altid et element at tilfældigheder i prisfastsættelsen af boliger. Fx kan en bolig opnå en højere pris, hvis sælgeren har ventet på den ’rigtige køber’. </w:t>
      </w:r>
      <w:r w:rsidR="00A56768">
        <w:t>Men den gennemsnitlige boligpris stiger med boligarealet</w:t>
      </w:r>
      <w:r w:rsidR="0020008C">
        <w:t xml:space="preserve">, </w:t>
      </w:r>
      <w:r w:rsidR="00DD0969">
        <w:t>hvilket</w:t>
      </w:r>
      <w:r w:rsidR="00A53A6F">
        <w:t xml:space="preserve"> tydeligt kan ses, hvis vi tegner en linje (regressionslinjen) gennem de røde cirkler, der repræsenterer den gennemsnitlige salgspris for et givent boligareal. Hvis vi således kender boligarealet for en given andelsbolig, kan vi sige noget om den gennemsnitlige salgspris.</w:t>
      </w:r>
      <w:r w:rsidR="00BB3EFF">
        <w:t xml:space="preserve"> </w:t>
      </w:r>
    </w:p>
    <w:p w:rsidR="00B1009A" w:rsidRDefault="00B1009A" w:rsidP="00572E83">
      <w:pPr>
        <w:spacing w:line="360" w:lineRule="auto"/>
      </w:pPr>
    </w:p>
    <w:p w:rsidR="00E476DB" w:rsidRDefault="00E476DB">
      <w:pPr>
        <w:spacing w:after="200" w:line="276" w:lineRule="auto"/>
        <w:jc w:val="left"/>
        <w:rPr>
          <w:b/>
        </w:rPr>
      </w:pPr>
      <w:r>
        <w:rPr>
          <w:b/>
        </w:rPr>
        <w:br w:type="page"/>
      </w:r>
    </w:p>
    <w:p w:rsidR="00CF1468" w:rsidRPr="003F5419" w:rsidRDefault="00CF1468" w:rsidP="00572E83">
      <w:pPr>
        <w:spacing w:line="360" w:lineRule="auto"/>
        <w:rPr>
          <w:b/>
        </w:rPr>
      </w:pPr>
      <w:r w:rsidRPr="003F5419">
        <w:rPr>
          <w:b/>
        </w:rPr>
        <w:lastRenderedPageBreak/>
        <w:t xml:space="preserve">Figur 1: Hypotetisk fordeling over </w:t>
      </w:r>
      <w:r w:rsidR="0020008C">
        <w:rPr>
          <w:b/>
        </w:rPr>
        <w:t>salgspriser for</w:t>
      </w:r>
      <w:r w:rsidRPr="003F5419">
        <w:rPr>
          <w:b/>
        </w:rPr>
        <w:t xml:space="preserve"> andelsboliger</w:t>
      </w:r>
      <w:r w:rsidR="003F5419" w:rsidRPr="003F5419">
        <w:rPr>
          <w:b/>
        </w:rPr>
        <w:t xml:space="preserve"> </w:t>
      </w:r>
      <w:r w:rsidR="0020008C">
        <w:rPr>
          <w:b/>
        </w:rPr>
        <w:t xml:space="preserve">i et bestemt kvartal </w:t>
      </w:r>
      <w:r w:rsidR="003F5419" w:rsidRPr="003F5419">
        <w:rPr>
          <w:b/>
        </w:rPr>
        <w:t>for bestemt</w:t>
      </w:r>
      <w:r w:rsidR="00A53A6F">
        <w:rPr>
          <w:b/>
        </w:rPr>
        <w:t>e</w:t>
      </w:r>
      <w:r w:rsidR="003F5419" w:rsidRPr="003F5419">
        <w:rPr>
          <w:b/>
        </w:rPr>
        <w:t xml:space="preserve"> boligarealer</w:t>
      </w:r>
      <w:r w:rsidRPr="003F5419">
        <w:rPr>
          <w:b/>
        </w:rPr>
        <w:t xml:space="preserve"> </w:t>
      </w:r>
      <w:r w:rsidR="00A16302">
        <w:rPr>
          <w:b/>
        </w:rPr>
        <w:t>(diskret variabel)</w:t>
      </w:r>
      <w:r w:rsidRPr="003F5419">
        <w:rPr>
          <w:b/>
        </w:rPr>
        <w:t xml:space="preserve">  </w:t>
      </w:r>
    </w:p>
    <w:p w:rsidR="00CF1468" w:rsidRDefault="00794A72" w:rsidP="00572E83">
      <w:pPr>
        <w:spacing w:line="360" w:lineRule="auto"/>
        <w:rPr>
          <w:rFonts w:eastAsiaTheme="minorEastAsia" w:cs="Arial"/>
          <w:sz w:val="24"/>
        </w:rPr>
      </w:pPr>
      <w:r w:rsidRPr="00794A72">
        <w:rPr>
          <w:rFonts w:eastAsiaTheme="minorEastAsia" w:cs="Arial"/>
          <w:noProof/>
          <w:sz w:val="24"/>
        </w:rPr>
        <w:drawing>
          <wp:inline distT="0" distB="0" distL="0" distR="0" wp14:anchorId="79825EE1" wp14:editId="76105DE9">
            <wp:extent cx="4525006" cy="2791215"/>
            <wp:effectExtent l="0" t="0" r="0" b="952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25006" cy="2791215"/>
                    </a:xfrm>
                    <a:prstGeom prst="rect">
                      <a:avLst/>
                    </a:prstGeom>
                  </pic:spPr>
                </pic:pic>
              </a:graphicData>
            </a:graphic>
          </wp:inline>
        </w:drawing>
      </w:r>
    </w:p>
    <w:p w:rsidR="00CF1468" w:rsidRPr="00A53A6F" w:rsidRDefault="00A53A6F" w:rsidP="00572E83">
      <w:pPr>
        <w:spacing w:line="360" w:lineRule="auto"/>
        <w:rPr>
          <w:rFonts w:eastAsiaTheme="minorEastAsia" w:cs="Arial"/>
          <w:sz w:val="16"/>
          <w:szCs w:val="16"/>
        </w:rPr>
      </w:pPr>
      <w:r w:rsidRPr="00A53A6F">
        <w:rPr>
          <w:rFonts w:eastAsiaTheme="minorEastAsia" w:cs="Arial"/>
          <w:sz w:val="16"/>
          <w:szCs w:val="16"/>
        </w:rPr>
        <w:t>Note. De røde cirkler repræsenterer den gennemsnitlige salgspris for et givent boligareal.</w:t>
      </w:r>
    </w:p>
    <w:p w:rsidR="00806CF5" w:rsidRDefault="00806CF5" w:rsidP="00945519"/>
    <w:p w:rsidR="00572E83" w:rsidRDefault="00A53A6F" w:rsidP="00945519">
      <w:r w:rsidRPr="00A53A6F">
        <w:t>I praksis vil der ikke kun</w:t>
      </w:r>
      <w:r w:rsidR="00A16302">
        <w:t xml:space="preserve"> være fire forskellige boligstørrelser (diskret variabel) som i figur 1, men snarere en masse forskellige boligstørrelser (kontinuert variabel)</w:t>
      </w:r>
      <w:r w:rsidR="00806CF5">
        <w:t xml:space="preserve"> og så ser figuren ud som i </w:t>
      </w:r>
      <w:r w:rsidR="00A16302">
        <w:t>figur 2 nedenfor:</w:t>
      </w:r>
    </w:p>
    <w:p w:rsidR="00BB3EFF" w:rsidRDefault="00BB3EFF" w:rsidP="00945519"/>
    <w:p w:rsidR="00A16302" w:rsidRPr="003F5419" w:rsidRDefault="0020008C" w:rsidP="00A16302">
      <w:pPr>
        <w:spacing w:line="360" w:lineRule="auto"/>
        <w:rPr>
          <w:b/>
        </w:rPr>
      </w:pPr>
      <w:r>
        <w:rPr>
          <w:b/>
        </w:rPr>
        <w:t>Figur 2</w:t>
      </w:r>
      <w:r w:rsidRPr="003F5419">
        <w:rPr>
          <w:b/>
        </w:rPr>
        <w:t xml:space="preserve">: Hypotetisk fordeling over </w:t>
      </w:r>
      <w:r>
        <w:rPr>
          <w:b/>
        </w:rPr>
        <w:t>salgspriser for</w:t>
      </w:r>
      <w:r w:rsidRPr="003F5419">
        <w:rPr>
          <w:b/>
        </w:rPr>
        <w:t xml:space="preserve"> andelsboliger </w:t>
      </w:r>
      <w:r>
        <w:rPr>
          <w:b/>
        </w:rPr>
        <w:t xml:space="preserve">i et bestemt kvartal </w:t>
      </w:r>
      <w:r w:rsidRPr="003F5419">
        <w:rPr>
          <w:b/>
        </w:rPr>
        <w:t>for bestemt</w:t>
      </w:r>
      <w:r>
        <w:rPr>
          <w:b/>
        </w:rPr>
        <w:t>e</w:t>
      </w:r>
      <w:r w:rsidRPr="003F5419">
        <w:rPr>
          <w:b/>
        </w:rPr>
        <w:t xml:space="preserve"> boligarealer </w:t>
      </w:r>
      <w:r w:rsidR="00A16302">
        <w:rPr>
          <w:b/>
        </w:rPr>
        <w:t>(k</w:t>
      </w:r>
      <w:r>
        <w:rPr>
          <w:b/>
        </w:rPr>
        <w:t xml:space="preserve">ontinuert </w:t>
      </w:r>
      <w:r w:rsidR="00A16302">
        <w:rPr>
          <w:b/>
        </w:rPr>
        <w:t>variabel)</w:t>
      </w:r>
      <w:r w:rsidR="00A16302" w:rsidRPr="003F5419">
        <w:rPr>
          <w:b/>
        </w:rPr>
        <w:t xml:space="preserve">  </w:t>
      </w:r>
    </w:p>
    <w:p w:rsidR="00572E83" w:rsidRDefault="00794A72" w:rsidP="00945519">
      <w:pPr>
        <w:rPr>
          <w:b/>
        </w:rPr>
      </w:pPr>
      <w:r w:rsidRPr="00794A72">
        <w:rPr>
          <w:b/>
          <w:noProof/>
        </w:rPr>
        <w:drawing>
          <wp:inline distT="0" distB="0" distL="0" distR="0" wp14:anchorId="3CBEAAE9" wp14:editId="6AF0C7B0">
            <wp:extent cx="4553585" cy="2753109"/>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53585" cy="2753109"/>
                    </a:xfrm>
                    <a:prstGeom prst="rect">
                      <a:avLst/>
                    </a:prstGeom>
                  </pic:spPr>
                </pic:pic>
              </a:graphicData>
            </a:graphic>
          </wp:inline>
        </w:drawing>
      </w:r>
    </w:p>
    <w:p w:rsidR="00523F9A" w:rsidRDefault="00523F9A" w:rsidP="00945519">
      <w:pPr>
        <w:rPr>
          <w:b/>
        </w:rPr>
      </w:pPr>
    </w:p>
    <w:p w:rsidR="009C5723" w:rsidRDefault="006C64A2" w:rsidP="00945519">
      <w:r w:rsidRPr="006C64A2">
        <w:t xml:space="preserve">Sammenhængen mellem den forklarende variabel (boligarealet) og </w:t>
      </w:r>
      <w:r>
        <w:t>den afhængige variabel (</w:t>
      </w:r>
      <w:r w:rsidRPr="006C64A2">
        <w:t>salgsprisen</w:t>
      </w:r>
      <w:r>
        <w:t>)</w:t>
      </w:r>
      <w:r w:rsidRPr="006C64A2">
        <w:t xml:space="preserve"> </w:t>
      </w:r>
      <w:r w:rsidR="003C76A8">
        <w:t xml:space="preserve">i figur 2 </w:t>
      </w:r>
      <w:r w:rsidRPr="006C64A2">
        <w:t xml:space="preserve">kan bruges til at beregne et </w:t>
      </w:r>
      <w:proofErr w:type="spellStart"/>
      <w:r w:rsidRPr="006C64A2">
        <w:t>hedonisk</w:t>
      </w:r>
      <w:proofErr w:type="spellEnd"/>
      <w:r w:rsidRPr="006C64A2">
        <w:t xml:space="preserve"> prisindeks.</w:t>
      </w:r>
      <w:r>
        <w:t xml:space="preserve"> </w:t>
      </w:r>
      <w:r w:rsidR="00394520">
        <w:t xml:space="preserve">I praksis vil man dog ikke kun bruge én forklarende variabel, men flere </w:t>
      </w:r>
      <w:r w:rsidR="00F95ACD">
        <w:t xml:space="preserve">forklarende </w:t>
      </w:r>
      <w:r w:rsidR="00394520">
        <w:t>variable og så hedder det multipel regressionsanalyse.</w:t>
      </w:r>
      <w:r w:rsidR="002751DE">
        <w:t xml:space="preserve"> </w:t>
      </w:r>
    </w:p>
    <w:p w:rsidR="00572E83" w:rsidRPr="0063053B" w:rsidRDefault="00572E83" w:rsidP="00945519">
      <w:pPr>
        <w:rPr>
          <w:b/>
        </w:rPr>
      </w:pPr>
    </w:p>
    <w:p w:rsidR="00945519" w:rsidRPr="00394520" w:rsidRDefault="00945519" w:rsidP="00945519">
      <w:r w:rsidRPr="00394520">
        <w:t xml:space="preserve">Hvis vi for eksempel vil finde udviklingen i </w:t>
      </w:r>
      <w:r w:rsidR="00577933" w:rsidRPr="00394520">
        <w:t>bolig</w:t>
      </w:r>
      <w:r w:rsidRPr="00394520">
        <w:t xml:space="preserve">priserne fra første kvartal til andet kvartal i et givet år, kunne vi starte med at bruge gennemsnitsprisen på de solgte </w:t>
      </w:r>
      <w:r w:rsidR="00577933" w:rsidRPr="00394520">
        <w:t>boliger</w:t>
      </w:r>
      <w:r w:rsidRPr="00394520">
        <w:t>. Det vil sige, ud</w:t>
      </w:r>
      <w:r w:rsidR="00577933" w:rsidRPr="00394520">
        <w:t>regne gennemsnitsprisen for fx 3</w:t>
      </w:r>
      <w:r w:rsidRPr="00394520">
        <w:t xml:space="preserve">.000 solgte </w:t>
      </w:r>
      <w:r w:rsidR="00577933" w:rsidRPr="00394520">
        <w:t>boliger</w:t>
      </w:r>
      <w:r w:rsidRPr="00394520">
        <w:t xml:space="preserve"> i første kvartal og gennemsnitsprisen for</w:t>
      </w:r>
      <w:r w:rsidR="00577933" w:rsidRPr="00394520">
        <w:t xml:space="preserve"> 2</w:t>
      </w:r>
      <w:r w:rsidRPr="00394520">
        <w:t xml:space="preserve">.000 solgte </w:t>
      </w:r>
      <w:r w:rsidR="00577933" w:rsidRPr="00394520">
        <w:t>boliger</w:t>
      </w:r>
      <w:r w:rsidRPr="00394520">
        <w:t xml:space="preserve"> i andet kvartal. </w:t>
      </w:r>
      <w:r w:rsidRPr="00394520">
        <w:lastRenderedPageBreak/>
        <w:t>Man kan bruge det simple aritmetiske gennemsnit eller måske det geometriske gennemsnit</w:t>
      </w:r>
      <w:r w:rsidR="00577933" w:rsidRPr="00394520">
        <w:t>, hvis man ønsker at tage højde for den store spredning i kvaliteten på boligerne og boligpriserne</w:t>
      </w:r>
      <w:r w:rsidRPr="00394520">
        <w:t>. Derefter b</w:t>
      </w:r>
      <w:r w:rsidR="00577933" w:rsidRPr="00394520">
        <w:t>eregnes</w:t>
      </w:r>
      <w:r w:rsidRPr="00394520">
        <w:t xml:space="preserve"> den procentvise ændring mellem gennemsnitsprisen for første og andet kvartal</w:t>
      </w:r>
      <w:r w:rsidR="00673F38" w:rsidRPr="00394520">
        <w:t>,</w:t>
      </w:r>
      <w:r w:rsidRPr="00394520">
        <w:t xml:space="preserve"> </w:t>
      </w:r>
      <w:r w:rsidR="00577933" w:rsidRPr="00394520">
        <w:t>som bruges</w:t>
      </w:r>
      <w:r w:rsidRPr="00394520">
        <w:t xml:space="preserve"> til at repræsentere udviklingen i </w:t>
      </w:r>
      <w:r w:rsidR="00577933" w:rsidRPr="00394520">
        <w:t>boligpriserne</w:t>
      </w:r>
      <w:r w:rsidRPr="00394520">
        <w:t xml:space="preserve"> fra første til andet kvartal. </w:t>
      </w:r>
    </w:p>
    <w:p w:rsidR="00773A81" w:rsidRPr="00394520" w:rsidRDefault="00773A81" w:rsidP="00773A81">
      <w:pPr>
        <w:rPr>
          <w:b/>
        </w:rPr>
      </w:pPr>
    </w:p>
    <w:p w:rsidR="00577933" w:rsidRPr="00394520" w:rsidRDefault="00945519" w:rsidP="00773A81">
      <w:r w:rsidRPr="00394520">
        <w:t>Det er en ret simpel metode, men den er ikke god nok. Det simple prisgennemsnit korrigerer ikke eksplicit for kvalitetsforskelle</w:t>
      </w:r>
      <w:r w:rsidR="00577933" w:rsidRPr="00394520">
        <w:t xml:space="preserve"> mellem de solgte boliger i de to kvartaler. Hvis salget eksempelvis stiger hurtigere i de store byer end i de små byer, vil den simple gennemsnitspris stige, blot fordi plac</w:t>
      </w:r>
      <w:r w:rsidR="00394520" w:rsidRPr="00394520">
        <w:t>eringen af de solgte boliger har ændret sig</w:t>
      </w:r>
      <w:r w:rsidR="00577933" w:rsidRPr="00394520">
        <w:t xml:space="preserve"> mellem de to kvartaler. Beliggenhed er et eksempel på en kvalitetsfaktor og gennemsnitsprisen på de solgte </w:t>
      </w:r>
      <w:r w:rsidR="00DD4125" w:rsidRPr="00394520">
        <w:t>boliger</w:t>
      </w:r>
      <w:r w:rsidR="00577933" w:rsidRPr="00394520">
        <w:t xml:space="preserve"> bør korrigeres for ændringer i de geografiske placeringer. Hvis værdien af kvalitetsforbedringer ignoreres eller undervurderes, vil det få prisindekset til at overvurdere prisstigningen over tid. </w:t>
      </w:r>
    </w:p>
    <w:p w:rsidR="00577933" w:rsidRDefault="00577933" w:rsidP="00773A81"/>
    <w:p w:rsidR="00DD4125" w:rsidRDefault="00DD4125" w:rsidP="00773A81">
      <w:r>
        <w:t xml:space="preserve">For at korrigere andelsboligprisindekset for kvalitetsændringer opstilles en regressionsmodel til at beskrive </w:t>
      </w:r>
      <w:r w:rsidR="00673F38">
        <w:t xml:space="preserve">betydningen af </w:t>
      </w:r>
      <w:r>
        <w:t>udvalgte karakteri</w:t>
      </w:r>
      <w:r w:rsidR="00673F38">
        <w:t>stika</w:t>
      </w:r>
      <w:r>
        <w:t xml:space="preserve"> på boligens salgspris. Mere specifikt formulerer vi en ligning, der gør prisen </w:t>
      </w:r>
      <m:oMath>
        <m:sSub>
          <m:sSubPr>
            <m:ctrlPr>
              <w:rPr>
                <w:rStyle w:val="hps"/>
                <w:rFonts w:ascii="Cambria Math" w:hAnsi="Cambria Math" w:cs="Arial"/>
                <w:i/>
                <w:color w:val="222222"/>
                <w:sz w:val="24"/>
                <w:lang w:val="en"/>
              </w:rPr>
            </m:ctrlPr>
          </m:sSubPr>
          <m:e>
            <m:r>
              <w:rPr>
                <w:rStyle w:val="hps"/>
                <w:rFonts w:ascii="Cambria Math" w:hAnsi="Cambria Math"/>
                <w:color w:val="222222"/>
                <w:sz w:val="24"/>
                <w:lang w:val="en"/>
              </w:rPr>
              <m:t>P</m:t>
            </m:r>
          </m:e>
          <m:sub>
            <m:r>
              <w:rPr>
                <w:rStyle w:val="hps"/>
                <w:rFonts w:ascii="Cambria Math" w:hAnsi="Cambria Math"/>
                <w:color w:val="222222"/>
                <w:sz w:val="24"/>
                <w:lang w:val="en"/>
              </w:rPr>
              <m:t>i</m:t>
            </m:r>
          </m:sub>
        </m:sSub>
      </m:oMath>
      <w:r w:rsidR="00AF035E" w:rsidRPr="00AF035E">
        <w:rPr>
          <w:rStyle w:val="hps"/>
          <w:rFonts w:eastAsiaTheme="minorEastAsia"/>
          <w:color w:val="222222"/>
          <w:sz w:val="24"/>
        </w:rPr>
        <w:t xml:space="preserve"> </w:t>
      </w:r>
      <w:r>
        <w:t xml:space="preserve">på bolig </w:t>
      </w:r>
      <w:r w:rsidRPr="00AF035E">
        <w:rPr>
          <w:i/>
        </w:rPr>
        <w:t>i</w:t>
      </w:r>
      <w:r>
        <w:t xml:space="preserve"> til en funktion af </w:t>
      </w:r>
      <w:r w:rsidR="008F580B">
        <w:t>en række karakteristika vedrørende selve andelsboligen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w:r w:rsidR="008F580B">
        <w:t xml:space="preserve">  og den tilhørende andelsboligforening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rsidR="008F580B">
        <w:t xml:space="preserve">  :</w:t>
      </w:r>
    </w:p>
    <w:p w:rsidR="008F580B" w:rsidRDefault="008F580B" w:rsidP="00773A81"/>
    <w:p w:rsidR="00945519" w:rsidRDefault="00AF035E" w:rsidP="00773A81">
      <m:oMath>
        <m:r>
          <w:rPr>
            <w:rFonts w:ascii="Cambria Math" w:hAnsi="Cambria Math"/>
            <w:sz w:val="24"/>
          </w:rPr>
          <m:t>ln</m:t>
        </m:r>
        <m:sSub>
          <m:sSubPr>
            <m:ctrlPr>
              <w:rPr>
                <w:rFonts w:ascii="Cambria Math" w:hAnsi="Cambria Math"/>
                <w:i/>
                <w:sz w:val="24"/>
              </w:rPr>
            </m:ctrlPr>
          </m:sSubPr>
          <m:e>
            <m:r>
              <w:rPr>
                <w:rFonts w:ascii="Cambria Math" w:hAnsi="Cambria Math"/>
                <w:sz w:val="24"/>
              </w:rPr>
              <m:t>P</m:t>
            </m:r>
          </m:e>
          <m:sub>
            <m:r>
              <w:rPr>
                <w:rFonts w:ascii="Cambria Math" w:hAnsi="Cambria Math"/>
                <w:sz w:val="24"/>
              </w:rPr>
              <m:t>i</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β</m:t>
            </m:r>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i1</m:t>
            </m:r>
          </m:sub>
        </m:sSub>
        <m:r>
          <w:rPr>
            <w:rFonts w:ascii="Cambria Math" w:hAnsi="Cambria Math"/>
            <w:sz w:val="24"/>
          </w:rPr>
          <m:t>+</m:t>
        </m:r>
        <m:sSub>
          <m:sSubPr>
            <m:ctrlPr>
              <w:rPr>
                <w:rFonts w:ascii="Cambria Math" w:hAnsi="Cambria Math"/>
                <w:i/>
                <w:sz w:val="24"/>
              </w:rPr>
            </m:ctrlPr>
          </m:sSubPr>
          <m:e>
            <m:r>
              <w:rPr>
                <w:rFonts w:ascii="Cambria Math" w:hAnsi="Cambria Math"/>
                <w:sz w:val="24"/>
              </w:rPr>
              <m:t>β</m:t>
            </m:r>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i2</m:t>
            </m:r>
          </m:sub>
        </m:sSub>
        <m:r>
          <w:rPr>
            <w:rFonts w:ascii="Cambria Math" w:hAnsi="Cambria Math"/>
            <w:sz w:val="24"/>
          </w:rPr>
          <m:t>+</m:t>
        </m:r>
        <m:sSub>
          <m:sSubPr>
            <m:ctrlPr>
              <w:rPr>
                <w:rFonts w:ascii="Cambria Math" w:hAnsi="Cambria Math"/>
                <w:i/>
                <w:sz w:val="24"/>
              </w:rPr>
            </m:ctrlPr>
          </m:sSubPr>
          <m:e>
            <m:r>
              <w:rPr>
                <w:rFonts w:ascii="Cambria Math" w:hAnsi="Cambria Math"/>
                <w:sz w:val="24"/>
              </w:rPr>
              <m:t>ε</m:t>
            </m:r>
          </m:e>
          <m:sub>
            <m:r>
              <w:rPr>
                <w:rFonts w:ascii="Cambria Math" w:hAnsi="Cambria Math"/>
                <w:sz w:val="24"/>
              </w:rPr>
              <m:t>i</m:t>
            </m:r>
          </m:sub>
        </m:sSub>
      </m:oMath>
      <w:r>
        <w:rPr>
          <w:sz w:val="24"/>
        </w:rPr>
        <w:tab/>
      </w:r>
      <w:r>
        <w:rPr>
          <w:sz w:val="24"/>
        </w:rPr>
        <w:tab/>
        <w:t xml:space="preserve">       </w:t>
      </w:r>
      <w:r w:rsidR="004C00F6">
        <w:rPr>
          <w:sz w:val="24"/>
        </w:rPr>
        <w:tab/>
        <w:t xml:space="preserve">         (3</w:t>
      </w:r>
      <w:r>
        <w:rPr>
          <w:sz w:val="24"/>
        </w:rPr>
        <w:t>)</w:t>
      </w:r>
    </w:p>
    <w:p w:rsidR="00945519" w:rsidRDefault="00945519" w:rsidP="00773A81"/>
    <w:p w:rsidR="00F76486" w:rsidRDefault="00F76486" w:rsidP="008F580B"/>
    <w:p w:rsidR="00F76486" w:rsidRDefault="00F76486" w:rsidP="00F76486">
      <w:r>
        <w:t xml:space="preserve">Den valgte metode kræver, at der er data på en kvalitetsfaktor, for at man kan korrigere for forskelle i faktoren. Man kan fx estimere betydningen af, at der kun er andelsboliger i foreningen ved at relatere en observérbar pris som </w:t>
      </w:r>
      <m:oMath>
        <m:r>
          <w:rPr>
            <w:rFonts w:ascii="Cambria Math" w:hAnsi="Cambria Math"/>
          </w:rPr>
          <m:t>EJD</m:t>
        </m:r>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MA</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HP</m:t>
            </m:r>
          </m:e>
          <m:sub>
            <m:r>
              <w:rPr>
                <w:rFonts w:ascii="Cambria Math" w:hAnsi="Cambria Math"/>
              </w:rPr>
              <m:t>i</m:t>
            </m:r>
          </m:sub>
        </m:sSub>
      </m:oMath>
      <w:r>
        <w:t xml:space="preserve"> i ligning (1a) til de foreliggende variable, jf. tabel 2 nedenfor, og estimere de listede faktorers prispåvirkning. Ved at give dummy’en for ”andelsbolig i foreningen” den gennemsnitlige værdi i alle observationer kan man lave et prisindeks, som er korr</w:t>
      </w:r>
      <w:proofErr w:type="spellStart"/>
      <w:r>
        <w:t>igeret</w:t>
      </w:r>
      <w:proofErr w:type="spellEnd"/>
      <w:r>
        <w:t xml:space="preserve"> for effekten af, at der er forholdsvis stor eller lille andel af andelsboliger i kvartalets omsætning. Herved kommer man tættere på at måle prisen på en andelsbolig i stedet for prisen på en andelsbolig plus en andel i ejendommens udlejningsboliger.</w:t>
      </w:r>
      <w:r w:rsidR="00453900">
        <w:t xml:space="preserve"> </w:t>
      </w:r>
    </w:p>
    <w:p w:rsidR="00453900" w:rsidRDefault="00453900" w:rsidP="00F76486"/>
    <w:p w:rsidR="00453900" w:rsidRPr="00415C04" w:rsidRDefault="00453900" w:rsidP="00453900">
      <w:r w:rsidRPr="00453900">
        <w:t xml:space="preserve">Det opstillede prisindeks følger </w:t>
      </w:r>
      <w:r>
        <w:t xml:space="preserve">som sagt </w:t>
      </w:r>
      <w:r w:rsidRPr="00453900">
        <w:t>prisudviklingen på den andelsbolig, man som andelshaver opnår brugsret til. For at fokusere på boligprisen er prisindekset søgt renset for effekten af, at andelsboligforeninger kan have indtægter fra udlejning til private eller til erhverv. Desuden er prisindekset kvalitetskorrigeret for nogle faktorer. Herunder, at foreningerne har forskelligt niveau for andelshavernes vedligeholdelsesbidrag, og for effekten af skift i vurderingsmetode, fx fra anskaf</w:t>
      </w:r>
      <w:r>
        <w:t xml:space="preserve">felsespris til valuarvurdering, </w:t>
      </w:r>
      <w:r w:rsidRPr="00453900">
        <w:t>så prisindekset ikke ændrer sig alene som følge af skift af vurderingsprincip, men afspejler et gennemsnit af prisændringen inden for hver af de tre vurderingsprincipper.</w:t>
      </w:r>
      <w:r>
        <w:t xml:space="preserve"> </w:t>
      </w:r>
      <w:r w:rsidRPr="00453900">
        <w:t xml:space="preserve">Kvalitetskorrektionen omfatter også det tillæg eller fradrag, der kan være for særlig forbedring eller nedslidning af den handlede andelsbolig.  </w:t>
      </w:r>
    </w:p>
    <w:p w:rsidR="00F76486" w:rsidRDefault="00F76486" w:rsidP="008F580B"/>
    <w:p w:rsidR="00110F3C" w:rsidRDefault="008F580B" w:rsidP="008F580B">
      <w:r>
        <w:t>Nedenfor er vist en liste over kvalitetsfaktorer, der indgår i bruttolisten over forklarende variable regressionen</w:t>
      </w:r>
      <w:r>
        <w:rPr>
          <w:rStyle w:val="Fodnotehenvisning"/>
        </w:rPr>
        <w:footnoteReference w:id="2"/>
      </w:r>
      <w:r w:rsidR="00453900">
        <w:t xml:space="preserve">. </w:t>
      </w:r>
      <w:r w:rsidR="00110F3C">
        <w:t>En essentiel variabel betyder, at variablen indtil videre har været signifikant i mindst 2/3 af regressionskørslerne:</w:t>
      </w:r>
    </w:p>
    <w:p w:rsidR="008F580B" w:rsidRDefault="00246441" w:rsidP="008F580B">
      <w:pPr>
        <w:rPr>
          <w:b/>
        </w:rPr>
      </w:pPr>
      <w:bookmarkStart w:id="8" w:name="_GoBack"/>
      <w:bookmarkEnd w:id="8"/>
      <w:r>
        <w:rPr>
          <w:b/>
        </w:rPr>
        <w:lastRenderedPageBreak/>
        <w:t>Tabel 2</w:t>
      </w:r>
      <w:r w:rsidR="008F580B">
        <w:rPr>
          <w:b/>
        </w:rPr>
        <w:t>: Oversigt over forklarende variable der kan indgå i regressionen</w:t>
      </w:r>
    </w:p>
    <w:tbl>
      <w:tblPr>
        <w:tblStyle w:val="Tabel-Gitter"/>
        <w:tblW w:w="9066" w:type="dxa"/>
        <w:tblInd w:w="-1706" w:type="dxa"/>
        <w:tblLook w:val="04A0" w:firstRow="1" w:lastRow="0" w:firstColumn="1" w:lastColumn="0" w:noHBand="0" w:noVBand="1"/>
      </w:tblPr>
      <w:tblGrid>
        <w:gridCol w:w="3686"/>
        <w:gridCol w:w="4111"/>
        <w:gridCol w:w="1269"/>
      </w:tblGrid>
      <w:tr w:rsidR="00453900" w:rsidRPr="008C7F11" w:rsidTr="00110F3C">
        <w:trPr>
          <w:trHeight w:val="256"/>
        </w:trPr>
        <w:tc>
          <w:tcPr>
            <w:tcW w:w="3686" w:type="dxa"/>
            <w:shd w:val="clear" w:color="auto" w:fill="8DB3E2" w:themeFill="text2" w:themeFillTint="66"/>
            <w:vAlign w:val="bottom"/>
          </w:tcPr>
          <w:p w:rsidR="00453900" w:rsidRPr="008C7F11" w:rsidRDefault="00453900" w:rsidP="00163BA8">
            <w:pPr>
              <w:jc w:val="center"/>
              <w:rPr>
                <w:rFonts w:ascii="Arial" w:hAnsi="Arial" w:cs="Arial"/>
                <w:b/>
                <w:color w:val="000000"/>
              </w:rPr>
            </w:pPr>
            <w:r w:rsidRPr="008C7F11">
              <w:rPr>
                <w:rFonts w:ascii="Arial" w:hAnsi="Arial" w:cs="Arial"/>
                <w:b/>
                <w:color w:val="000000"/>
              </w:rPr>
              <w:t>Variable</w:t>
            </w:r>
          </w:p>
        </w:tc>
        <w:tc>
          <w:tcPr>
            <w:tcW w:w="4111" w:type="dxa"/>
            <w:shd w:val="clear" w:color="auto" w:fill="8DB3E2" w:themeFill="text2" w:themeFillTint="66"/>
            <w:vAlign w:val="bottom"/>
          </w:tcPr>
          <w:p w:rsidR="00453900" w:rsidRPr="008C7F11" w:rsidRDefault="00453900" w:rsidP="00163BA8">
            <w:pPr>
              <w:jc w:val="center"/>
              <w:rPr>
                <w:rFonts w:ascii="Arial" w:hAnsi="Arial" w:cs="Arial"/>
                <w:b/>
                <w:color w:val="000000"/>
              </w:rPr>
            </w:pPr>
            <w:r>
              <w:rPr>
                <w:rFonts w:ascii="Arial" w:hAnsi="Arial" w:cs="Arial"/>
                <w:b/>
                <w:color w:val="000000"/>
              </w:rPr>
              <w:t>Datafelt i nøgleoplysningsskemaet*</w:t>
            </w:r>
          </w:p>
        </w:tc>
        <w:tc>
          <w:tcPr>
            <w:tcW w:w="1269" w:type="dxa"/>
            <w:shd w:val="clear" w:color="auto" w:fill="8DB3E2" w:themeFill="text2" w:themeFillTint="66"/>
          </w:tcPr>
          <w:p w:rsidR="00453900" w:rsidRDefault="00453900" w:rsidP="00163BA8">
            <w:pPr>
              <w:jc w:val="center"/>
              <w:rPr>
                <w:rFonts w:ascii="Arial" w:hAnsi="Arial" w:cs="Arial"/>
                <w:b/>
                <w:color w:val="000000"/>
              </w:rPr>
            </w:pPr>
            <w:r>
              <w:rPr>
                <w:rFonts w:ascii="Arial" w:hAnsi="Arial" w:cs="Arial"/>
                <w:b/>
                <w:color w:val="000000"/>
              </w:rPr>
              <w:t>Essentiel</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Pr>
                <w:rFonts w:ascii="Arial" w:hAnsi="Arial" w:cs="Arial"/>
                <w:color w:val="000000"/>
              </w:rPr>
              <w:t>Boligareal (kvadratmeter i BBR)</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”Z13” i skema 2</w:t>
            </w:r>
          </w:p>
        </w:tc>
        <w:tc>
          <w:tcPr>
            <w:tcW w:w="1269" w:type="dxa"/>
          </w:tcPr>
          <w:p w:rsidR="00453900" w:rsidRDefault="00453900"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Pr>
                <w:rFonts w:ascii="Arial" w:hAnsi="Arial" w:cs="Arial"/>
                <w:color w:val="000000"/>
              </w:rPr>
              <w:t>Bygningens alder (år)</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”D2” i skema 1</w:t>
            </w:r>
          </w:p>
        </w:tc>
        <w:tc>
          <w:tcPr>
            <w:tcW w:w="1269" w:type="dxa"/>
          </w:tcPr>
          <w:p w:rsidR="00453900" w:rsidRDefault="00453900"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Pr="008C7F11" w:rsidRDefault="00453900" w:rsidP="00163BA8">
            <w:pPr>
              <w:jc w:val="left"/>
              <w:rPr>
                <w:rFonts w:ascii="Arial" w:hAnsi="Arial" w:cs="Arial"/>
                <w:color w:val="000000"/>
              </w:rPr>
            </w:pPr>
            <w:r>
              <w:rPr>
                <w:rFonts w:ascii="Arial" w:hAnsi="Arial" w:cs="Arial"/>
                <w:color w:val="000000"/>
              </w:rPr>
              <w:t>Foreningens alder (år)</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”D1” i skema 1</w:t>
            </w:r>
          </w:p>
        </w:tc>
        <w:tc>
          <w:tcPr>
            <w:tcW w:w="1269" w:type="dxa"/>
          </w:tcPr>
          <w:p w:rsidR="00453900" w:rsidRDefault="00453900"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Pr>
                <w:rFonts w:ascii="Arial" w:hAnsi="Arial" w:cs="Arial"/>
                <w:color w:val="000000"/>
              </w:rPr>
              <w:t>Årlig boligafgift (kr.)</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”Z9” i skema 2</w:t>
            </w:r>
          </w:p>
        </w:tc>
        <w:tc>
          <w:tcPr>
            <w:tcW w:w="1269" w:type="dxa"/>
          </w:tcPr>
          <w:p w:rsidR="00453900" w:rsidRDefault="00110F3C"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Pr>
                <w:rFonts w:ascii="Arial" w:hAnsi="Arial" w:cs="Arial"/>
                <w:color w:val="000000"/>
              </w:rPr>
              <w:t>Værdiansættelsesmetode</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”F1” i skema 1</w:t>
            </w:r>
          </w:p>
        </w:tc>
        <w:tc>
          <w:tcPr>
            <w:tcW w:w="1269" w:type="dxa"/>
          </w:tcPr>
          <w:p w:rsidR="00453900" w:rsidRDefault="00453900"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sidRPr="00A0615C">
              <w:rPr>
                <w:rFonts w:ascii="Arial" w:hAnsi="Arial" w:cs="Arial"/>
                <w:color w:val="000000"/>
              </w:rPr>
              <w:t>Er der besluttet større vedlige</w:t>
            </w:r>
            <w:r>
              <w:rPr>
                <w:rFonts w:ascii="Arial" w:hAnsi="Arial" w:cs="Arial"/>
                <w:color w:val="000000"/>
              </w:rPr>
              <w:t>holdelsesarbejder</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”L3” i skema 1</w:t>
            </w:r>
          </w:p>
        </w:tc>
        <w:tc>
          <w:tcPr>
            <w:tcW w:w="1269" w:type="dxa"/>
          </w:tcPr>
          <w:p w:rsidR="00453900" w:rsidRDefault="00453900"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sidRPr="008C7F11">
              <w:rPr>
                <w:rFonts w:ascii="Arial" w:hAnsi="Arial" w:cs="Arial"/>
              </w:rPr>
              <w:t>Hæfter andelshaveren for mere end indskuddet</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”E1” i skema 1</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sidRPr="008C7F11">
              <w:rPr>
                <w:rFonts w:ascii="Arial" w:hAnsi="Arial" w:cs="Arial"/>
              </w:rPr>
              <w:t>Er maksimal andelsværdi = maksimalpris i alt</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Sammenligning af ”Z3” og ”Z7” i skema 2</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r w:rsidR="00453900" w:rsidRPr="008C7F11" w:rsidTr="00110F3C">
        <w:trPr>
          <w:trHeight w:val="256"/>
        </w:trPr>
        <w:tc>
          <w:tcPr>
            <w:tcW w:w="3686" w:type="dxa"/>
            <w:vAlign w:val="bottom"/>
          </w:tcPr>
          <w:p w:rsidR="00453900" w:rsidRPr="008C7F11" w:rsidRDefault="00453900" w:rsidP="00163BA8">
            <w:pPr>
              <w:jc w:val="left"/>
              <w:rPr>
                <w:rFonts w:ascii="Arial" w:hAnsi="Arial" w:cs="Arial"/>
                <w:color w:val="000000"/>
              </w:rPr>
            </w:pPr>
            <w:r>
              <w:rPr>
                <w:rFonts w:ascii="Arial" w:hAnsi="Arial" w:cs="Arial"/>
                <w:color w:val="000000"/>
              </w:rPr>
              <w:t xml:space="preserve">Konstrueret variabel for om </w:t>
            </w:r>
            <w:r w:rsidRPr="00E34FCE">
              <w:rPr>
                <w:rFonts w:ascii="Arial" w:hAnsi="Arial" w:cs="Arial"/>
                <w:color w:val="000000"/>
              </w:rPr>
              <w:t xml:space="preserve">der kun </w:t>
            </w:r>
            <w:r>
              <w:rPr>
                <w:rFonts w:ascii="Arial" w:hAnsi="Arial" w:cs="Arial"/>
                <w:color w:val="000000"/>
              </w:rPr>
              <w:t xml:space="preserve">findes </w:t>
            </w:r>
            <w:r w:rsidRPr="00E34FCE">
              <w:rPr>
                <w:rFonts w:ascii="Arial" w:hAnsi="Arial" w:cs="Arial"/>
                <w:color w:val="000000"/>
              </w:rPr>
              <w:t>andelsboliger i foreningen</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Sammenligning af  felterne ”B1” og ”B6” i skema 1</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r w:rsidR="00453900" w:rsidRPr="008C7F11" w:rsidTr="00110F3C">
        <w:trPr>
          <w:trHeight w:val="256"/>
        </w:trPr>
        <w:tc>
          <w:tcPr>
            <w:tcW w:w="3686" w:type="dxa"/>
            <w:vAlign w:val="bottom"/>
          </w:tcPr>
          <w:p w:rsidR="00453900" w:rsidRDefault="00453900" w:rsidP="00163BA8">
            <w:pPr>
              <w:jc w:val="left"/>
              <w:rPr>
                <w:rFonts w:ascii="Arial" w:hAnsi="Arial" w:cs="Arial"/>
                <w:color w:val="000000"/>
              </w:rPr>
            </w:pPr>
            <w:r>
              <w:rPr>
                <w:rFonts w:ascii="Arial" w:hAnsi="Arial" w:cs="Arial"/>
                <w:color w:val="000000"/>
              </w:rPr>
              <w:t>Region (geografi)</w:t>
            </w:r>
          </w:p>
        </w:tc>
        <w:tc>
          <w:tcPr>
            <w:tcW w:w="4111" w:type="dxa"/>
            <w:vAlign w:val="bottom"/>
          </w:tcPr>
          <w:p w:rsidR="00453900" w:rsidRDefault="00453900" w:rsidP="00163BA8">
            <w:pPr>
              <w:jc w:val="center"/>
              <w:rPr>
                <w:rFonts w:ascii="Arial" w:hAnsi="Arial" w:cs="Arial"/>
                <w:color w:val="000000"/>
              </w:rPr>
            </w:pPr>
            <w:r>
              <w:rPr>
                <w:rFonts w:ascii="Arial" w:hAnsi="Arial" w:cs="Arial"/>
                <w:color w:val="000000"/>
              </w:rPr>
              <w:t>Laves på baggrund af kommunekoden</w:t>
            </w:r>
          </w:p>
        </w:tc>
        <w:tc>
          <w:tcPr>
            <w:tcW w:w="1269" w:type="dxa"/>
          </w:tcPr>
          <w:p w:rsidR="00453900" w:rsidRDefault="00453900"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Pr="00E34FCE" w:rsidRDefault="00453900" w:rsidP="00163BA8">
            <w:pPr>
              <w:jc w:val="left"/>
              <w:rPr>
                <w:rFonts w:ascii="Arial" w:hAnsi="Arial" w:cs="Arial"/>
                <w:color w:val="000000"/>
              </w:rPr>
            </w:pPr>
            <w:r w:rsidRPr="008C7F11">
              <w:rPr>
                <w:rFonts w:ascii="Arial" w:hAnsi="Arial" w:cs="Arial"/>
              </w:rPr>
              <w:t>Andel af kvadratmeter i foreningen der udlejes</w:t>
            </w:r>
          </w:p>
        </w:tc>
        <w:tc>
          <w:tcPr>
            <w:tcW w:w="4111" w:type="dxa"/>
            <w:vAlign w:val="bottom"/>
          </w:tcPr>
          <w:p w:rsidR="00453900" w:rsidRDefault="00453900" w:rsidP="00163BA8">
            <w:pPr>
              <w:jc w:val="center"/>
              <w:rPr>
                <w:rFonts w:ascii="Arial" w:hAnsi="Arial" w:cs="Arial"/>
                <w:color w:val="000000"/>
              </w:rPr>
            </w:pPr>
            <w:r>
              <w:rPr>
                <w:rFonts w:ascii="Arial" w:hAnsi="Arial" w:cs="Arial"/>
                <w:color w:val="000000"/>
              </w:rPr>
              <w:t>”B3A-B6A” i skema 1</w:t>
            </w:r>
          </w:p>
        </w:tc>
        <w:tc>
          <w:tcPr>
            <w:tcW w:w="1269" w:type="dxa"/>
          </w:tcPr>
          <w:p w:rsidR="00453900" w:rsidRDefault="00453900" w:rsidP="00163BA8">
            <w:pPr>
              <w:jc w:val="center"/>
              <w:rPr>
                <w:rFonts w:ascii="Arial" w:hAnsi="Arial" w:cs="Arial"/>
                <w:color w:val="000000"/>
              </w:rPr>
            </w:pPr>
            <w:r>
              <w:rPr>
                <w:rFonts w:ascii="Arial" w:hAnsi="Arial" w:cs="Arial"/>
                <w:color w:val="000000"/>
              </w:rPr>
              <w:t>Ja</w:t>
            </w:r>
          </w:p>
        </w:tc>
      </w:tr>
      <w:tr w:rsidR="00453900" w:rsidRPr="008C7F11" w:rsidTr="00110F3C">
        <w:trPr>
          <w:trHeight w:val="256"/>
        </w:trPr>
        <w:tc>
          <w:tcPr>
            <w:tcW w:w="3686" w:type="dxa"/>
            <w:vAlign w:val="bottom"/>
          </w:tcPr>
          <w:p w:rsidR="00453900" w:rsidRPr="00A66509" w:rsidRDefault="00453900" w:rsidP="00163BA8">
            <w:pPr>
              <w:jc w:val="left"/>
            </w:pPr>
            <w:r w:rsidRPr="00E34FCE">
              <w:rPr>
                <w:rFonts w:ascii="Arial" w:hAnsi="Arial" w:cs="Arial"/>
                <w:color w:val="000000"/>
              </w:rPr>
              <w:t>Har foreningen erhvervslejeindtægter</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Er ”H2” &gt; 0 i skema 1</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r w:rsidR="00453900" w:rsidRPr="008C7F11" w:rsidTr="00110F3C">
        <w:trPr>
          <w:trHeight w:val="256"/>
        </w:trPr>
        <w:tc>
          <w:tcPr>
            <w:tcW w:w="3686" w:type="dxa"/>
            <w:vAlign w:val="bottom"/>
          </w:tcPr>
          <w:p w:rsidR="00453900" w:rsidRPr="00E34FCE" w:rsidRDefault="00453900" w:rsidP="00163BA8">
            <w:pPr>
              <w:jc w:val="left"/>
              <w:rPr>
                <w:rFonts w:ascii="Arial" w:hAnsi="Arial" w:cs="Arial"/>
                <w:color w:val="000000"/>
              </w:rPr>
            </w:pPr>
            <w:r w:rsidRPr="00E34FCE">
              <w:rPr>
                <w:rFonts w:ascii="Arial" w:hAnsi="Arial" w:cs="Arial"/>
                <w:color w:val="000000"/>
              </w:rPr>
              <w:t xml:space="preserve">Har foreningen </w:t>
            </w:r>
            <w:r>
              <w:rPr>
                <w:rFonts w:ascii="Arial" w:hAnsi="Arial" w:cs="Arial"/>
                <w:color w:val="000000"/>
              </w:rPr>
              <w:t>bolig</w:t>
            </w:r>
            <w:r w:rsidRPr="00E34FCE">
              <w:rPr>
                <w:rFonts w:ascii="Arial" w:hAnsi="Arial" w:cs="Arial"/>
                <w:color w:val="000000"/>
              </w:rPr>
              <w:t>lejeindtægter</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Er ”H3” &gt; 0 i skema 1</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r w:rsidR="00453900" w:rsidRPr="008C7F11" w:rsidTr="00110F3C">
        <w:trPr>
          <w:trHeight w:val="256"/>
        </w:trPr>
        <w:tc>
          <w:tcPr>
            <w:tcW w:w="3686" w:type="dxa"/>
            <w:vAlign w:val="bottom"/>
          </w:tcPr>
          <w:p w:rsidR="00453900" w:rsidRPr="00E34FCE" w:rsidRDefault="00453900" w:rsidP="00163BA8">
            <w:pPr>
              <w:jc w:val="left"/>
              <w:rPr>
                <w:rFonts w:ascii="Arial" w:hAnsi="Arial" w:cs="Arial"/>
                <w:color w:val="000000"/>
              </w:rPr>
            </w:pPr>
            <w:r w:rsidRPr="00E34FCE">
              <w:rPr>
                <w:rFonts w:ascii="Arial" w:hAnsi="Arial" w:cs="Arial"/>
                <w:color w:val="000000"/>
              </w:rPr>
              <w:t>Står der tomme erhvervslejemål</w:t>
            </w:r>
            <w:r>
              <w:rPr>
                <w:rFonts w:ascii="Arial" w:hAnsi="Arial" w:cs="Arial"/>
                <w:color w:val="000000"/>
              </w:rPr>
              <w:t xml:space="preserve"> </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”I” i skema 1</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r w:rsidR="00453900" w:rsidRPr="008C7F11" w:rsidTr="00110F3C">
        <w:trPr>
          <w:trHeight w:val="256"/>
        </w:trPr>
        <w:tc>
          <w:tcPr>
            <w:tcW w:w="3686" w:type="dxa"/>
            <w:vAlign w:val="bottom"/>
          </w:tcPr>
          <w:p w:rsidR="00453900" w:rsidRPr="00E34FCE" w:rsidRDefault="00453900" w:rsidP="00163BA8">
            <w:r w:rsidRPr="00E34FCE">
              <w:rPr>
                <w:rFonts w:ascii="Arial" w:hAnsi="Arial" w:cs="Arial"/>
                <w:color w:val="000000"/>
              </w:rPr>
              <w:t>Areal i ejendommens andelsboliger i forhold til arealet i hele ejendommen</w:t>
            </w:r>
          </w:p>
        </w:tc>
        <w:tc>
          <w:tcPr>
            <w:tcW w:w="4111" w:type="dxa"/>
            <w:vAlign w:val="bottom"/>
          </w:tcPr>
          <w:p w:rsidR="00453900" w:rsidRPr="008C7F11" w:rsidRDefault="00453900" w:rsidP="00163BA8">
            <w:pPr>
              <w:jc w:val="center"/>
              <w:rPr>
                <w:rFonts w:ascii="Arial" w:hAnsi="Arial" w:cs="Arial"/>
                <w:color w:val="000000"/>
              </w:rPr>
            </w:pPr>
            <w:r>
              <w:rPr>
                <w:rFonts w:ascii="Arial" w:hAnsi="Arial" w:cs="Arial"/>
                <w:color w:val="000000"/>
              </w:rPr>
              <w:t>”B1A” i forhold til ”B6A” i skema 1</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r w:rsidR="00453900" w:rsidRPr="008C7F11" w:rsidTr="00110F3C">
        <w:trPr>
          <w:trHeight w:val="256"/>
        </w:trPr>
        <w:tc>
          <w:tcPr>
            <w:tcW w:w="3686" w:type="dxa"/>
            <w:vAlign w:val="bottom"/>
          </w:tcPr>
          <w:p w:rsidR="00453900" w:rsidRPr="00E34FCE" w:rsidRDefault="00453900" w:rsidP="00163BA8">
            <w:pPr>
              <w:rPr>
                <w:rFonts w:ascii="Arial" w:hAnsi="Arial" w:cs="Arial"/>
                <w:color w:val="000000"/>
              </w:rPr>
            </w:pPr>
            <w:r>
              <w:rPr>
                <w:rFonts w:ascii="Arial" w:hAnsi="Arial" w:cs="Arial"/>
                <w:color w:val="000000"/>
              </w:rPr>
              <w:t>Renteswap</w:t>
            </w:r>
          </w:p>
        </w:tc>
        <w:tc>
          <w:tcPr>
            <w:tcW w:w="4111" w:type="dxa"/>
            <w:vAlign w:val="bottom"/>
          </w:tcPr>
          <w:p w:rsidR="00453900" w:rsidRDefault="00453900" w:rsidP="00163BA8">
            <w:pPr>
              <w:jc w:val="center"/>
              <w:rPr>
                <w:rFonts w:ascii="Arial" w:hAnsi="Arial" w:cs="Arial"/>
                <w:color w:val="000000"/>
              </w:rPr>
            </w:pPr>
            <w:r>
              <w:rPr>
                <w:rFonts w:ascii="Arial" w:hAnsi="Arial" w:cs="Arial"/>
                <w:color w:val="000000"/>
              </w:rPr>
              <w:t>”</w:t>
            </w:r>
            <w:r w:rsidRPr="00371F4A">
              <w:rPr>
                <w:rFonts w:ascii="Arial" w:hAnsi="Arial" w:cs="Arial"/>
                <w:color w:val="000000"/>
              </w:rPr>
              <w:t>AFTTYPE = 11 eller 12</w:t>
            </w:r>
            <w:r>
              <w:rPr>
                <w:rFonts w:ascii="Arial" w:hAnsi="Arial" w:cs="Arial"/>
                <w:color w:val="000000"/>
              </w:rPr>
              <w:t>” i skema 1</w:t>
            </w:r>
          </w:p>
        </w:tc>
        <w:tc>
          <w:tcPr>
            <w:tcW w:w="1269" w:type="dxa"/>
          </w:tcPr>
          <w:p w:rsidR="00453900" w:rsidRDefault="00110F3C" w:rsidP="00163BA8">
            <w:pPr>
              <w:jc w:val="center"/>
              <w:rPr>
                <w:rFonts w:ascii="Arial" w:hAnsi="Arial" w:cs="Arial"/>
                <w:color w:val="000000"/>
              </w:rPr>
            </w:pPr>
            <w:r>
              <w:rPr>
                <w:rFonts w:ascii="Arial" w:hAnsi="Arial" w:cs="Arial"/>
                <w:color w:val="000000"/>
              </w:rPr>
              <w:t>Nej</w:t>
            </w:r>
          </w:p>
        </w:tc>
      </w:tr>
    </w:tbl>
    <w:p w:rsidR="008F580B" w:rsidRPr="00371F4A" w:rsidRDefault="008F580B" w:rsidP="00773A81">
      <w:pPr>
        <w:rPr>
          <w:sz w:val="16"/>
          <w:szCs w:val="16"/>
        </w:rPr>
      </w:pPr>
      <w:r w:rsidRPr="00F30364">
        <w:rPr>
          <w:sz w:val="16"/>
          <w:szCs w:val="16"/>
        </w:rPr>
        <w:t>*</w:t>
      </w:r>
      <w:r>
        <w:rPr>
          <w:sz w:val="16"/>
          <w:szCs w:val="16"/>
        </w:rPr>
        <w:t>Skema</w:t>
      </w:r>
      <w:r w:rsidRPr="00F30364">
        <w:rPr>
          <w:sz w:val="16"/>
          <w:szCs w:val="16"/>
        </w:rPr>
        <w:t xml:space="preserve"> </w:t>
      </w:r>
      <w:r>
        <w:rPr>
          <w:sz w:val="16"/>
          <w:szCs w:val="16"/>
        </w:rPr>
        <w:t>refererer til</w:t>
      </w:r>
      <w:r w:rsidRPr="00F30364">
        <w:rPr>
          <w:sz w:val="16"/>
          <w:szCs w:val="16"/>
        </w:rPr>
        <w:t xml:space="preserve"> Nøgleoplysningsskemaet</w:t>
      </w:r>
      <w:r>
        <w:rPr>
          <w:sz w:val="16"/>
          <w:szCs w:val="16"/>
        </w:rPr>
        <w:t>, hvor skema 1 = bilag 1 om andelsboligforeningen og skema 2 = bilag 2 om den enkelte andelsbolig.</w:t>
      </w:r>
    </w:p>
    <w:p w:rsidR="00453900" w:rsidRDefault="00453900" w:rsidP="00773A81"/>
    <w:p w:rsidR="00945519" w:rsidRDefault="00453900" w:rsidP="00773A81">
      <w:r>
        <w:t>Der bruges</w:t>
      </w:r>
      <w:r w:rsidR="00AF035E">
        <w:t xml:space="preserve"> logar</w:t>
      </w:r>
      <w:r w:rsidR="00FE64D8">
        <w:t xml:space="preserve">itmen af prisen i venstre side som </w:t>
      </w:r>
      <w:r w:rsidR="00AF035E">
        <w:t xml:space="preserve">er et standardvalg, fordi fordelingen af logaritmen til priserne er pænere klokkeformet </w:t>
      </w:r>
      <w:r w:rsidR="00FE64D8">
        <w:t xml:space="preserve">(normalfordelt) </w:t>
      </w:r>
      <w:r w:rsidR="00AF035E">
        <w:t>end</w:t>
      </w:r>
      <w:r w:rsidR="00FE64D8">
        <w:t xml:space="preserve"> blot</w:t>
      </w:r>
      <w:r w:rsidR="00AF035E">
        <w:t xml:space="preserve"> fordelingen af priserne. Boligarealet er også logaritme-transformeret, men transformationen er ikke relevant for de øvrige </w:t>
      </w:r>
      <w:r w:rsidR="008F580B">
        <w:t>forklarende variable</w:t>
      </w:r>
      <w:r w:rsidR="00AF035E">
        <w:t xml:space="preserve">. Det gør det til en </w:t>
      </w:r>
      <w:proofErr w:type="spellStart"/>
      <w:r w:rsidR="00AF035E">
        <w:t>semi</w:t>
      </w:r>
      <w:proofErr w:type="spellEnd"/>
      <w:r w:rsidR="008F580B">
        <w:t>-</w:t>
      </w:r>
      <w:r w:rsidR="00AF035E">
        <w:t>logaritmisk lignin</w:t>
      </w:r>
      <w:r w:rsidR="00673F38">
        <w:t xml:space="preserve">g. Salgsprisen og de </w:t>
      </w:r>
      <w:r w:rsidR="008F580B">
        <w:t xml:space="preserve">forskellige </w:t>
      </w:r>
      <w:r w:rsidR="00673F38">
        <w:t>karakteristika er alle observérbare variable, og der er én pris og ét sæt karakter</w:t>
      </w:r>
      <w:r w:rsidR="008F580B">
        <w:t>i</w:t>
      </w:r>
      <w:r w:rsidR="00673F38">
        <w:t xml:space="preserve">stika for hver </w:t>
      </w:r>
      <w:r w:rsidR="008F580B">
        <w:t>solgt</w:t>
      </w:r>
      <w:r w:rsidR="00BD314C">
        <w:t>e</w:t>
      </w:r>
      <w:r w:rsidR="008F580B">
        <w:t xml:space="preserve"> bolig.</w:t>
      </w:r>
    </w:p>
    <w:p w:rsidR="00827ECC" w:rsidRDefault="00827ECC" w:rsidP="00773A81"/>
    <w:p w:rsidR="00827ECC" w:rsidRDefault="004C00F6" w:rsidP="00773A81">
      <w:r>
        <w:t>Ligning (3</w:t>
      </w:r>
      <w:r w:rsidR="00827ECC">
        <w:t>) kan estimeres for hvert kvartal. I vores eksempel er der 3.000 observationer i et kvartal, og den est</w:t>
      </w:r>
      <w:r w:rsidR="00822635">
        <w:t>imerede ligning ser således ud:</w:t>
      </w:r>
    </w:p>
    <w:p w:rsidR="00822635" w:rsidRDefault="00822635" w:rsidP="00773A81"/>
    <w:p w:rsidR="00945795" w:rsidRDefault="00945795" w:rsidP="00945795">
      <w:pPr>
        <w:spacing w:line="360" w:lineRule="auto"/>
        <w:rPr>
          <w:rFonts w:eastAsiaTheme="minorEastAsia" w:cs="Arial"/>
          <w:sz w:val="24"/>
        </w:rPr>
      </w:pPr>
      <m:oMath>
        <m:r>
          <w:rPr>
            <w:rFonts w:ascii="Cambria Math" w:hAnsi="Cambria Math"/>
            <w:sz w:val="24"/>
          </w:rPr>
          <m:t>ln</m:t>
        </m:r>
        <m:sSub>
          <m:sSubPr>
            <m:ctrlPr>
              <w:rPr>
                <w:rFonts w:ascii="Cambria Math" w:hAnsi="Cambria Math"/>
                <w:i/>
                <w:sz w:val="24"/>
              </w:rPr>
            </m:ctrlPr>
          </m:sSubPr>
          <m:e>
            <m:r>
              <w:rPr>
                <w:rFonts w:ascii="Cambria Math" w:hAnsi="Cambria Math"/>
                <w:sz w:val="24"/>
              </w:rPr>
              <m:t>P</m:t>
            </m:r>
          </m:e>
          <m:sub>
            <m:r>
              <w:rPr>
                <w:rFonts w:ascii="Cambria Math" w:hAnsi="Cambria Math"/>
                <w:sz w:val="24"/>
              </w:rPr>
              <m:t>i</m:t>
            </m:r>
          </m:sub>
        </m:sSub>
        <m:r>
          <w:rPr>
            <w:rFonts w:ascii="Cambria Math" w:hAnsi="Cambria Math"/>
            <w:sz w:val="24"/>
          </w:rPr>
          <m:t xml:space="preserve">= </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β</m:t>
                </m:r>
              </m:e>
            </m:acc>
          </m:e>
          <m:sub>
            <m:r>
              <w:rPr>
                <w:rFonts w:ascii="Cambria Math" w:hAnsi="Cambria Math"/>
                <w:sz w:val="24"/>
              </w:rPr>
              <m:t>0</m:t>
            </m:r>
          </m:sub>
        </m:sSub>
        <m:r>
          <w:rPr>
            <w:rFonts w:ascii="Cambria Math" w:hAnsi="Cambria Math"/>
            <w:sz w:val="24"/>
          </w:rPr>
          <m:t>+</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β</m:t>
                </m:r>
              </m:e>
            </m:acc>
          </m:e>
          <m:sub>
            <m:r>
              <w:rPr>
                <w:rFonts w:ascii="Cambria Math" w:hAnsi="Cambria Math"/>
                <w:sz w:val="24"/>
              </w:rPr>
              <m:t>1</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i1</m:t>
            </m:r>
          </m:sub>
        </m:sSub>
        <m:r>
          <w:rPr>
            <w:rFonts w:ascii="Cambria Math" w:hAnsi="Cambria Math"/>
            <w:sz w:val="24"/>
          </w:rPr>
          <m:t>+</m:t>
        </m:r>
        <m:sSub>
          <m:sSubPr>
            <m:ctrlPr>
              <w:rPr>
                <w:rFonts w:ascii="Cambria Math" w:hAnsi="Cambria Math"/>
                <w:i/>
                <w:sz w:val="24"/>
              </w:rPr>
            </m:ctrlPr>
          </m:sSubPr>
          <m:e>
            <m:acc>
              <m:accPr>
                <m:ctrlPr>
                  <w:rPr>
                    <w:rFonts w:ascii="Cambria Math" w:hAnsi="Cambria Math"/>
                    <w:i/>
                    <w:sz w:val="24"/>
                  </w:rPr>
                </m:ctrlPr>
              </m:accPr>
              <m:e>
                <m:r>
                  <w:rPr>
                    <w:rFonts w:ascii="Cambria Math" w:hAnsi="Cambria Math"/>
                    <w:sz w:val="24"/>
                  </w:rPr>
                  <m:t>β</m:t>
                </m:r>
              </m:e>
            </m:acc>
          </m:e>
          <m:sub>
            <m:r>
              <w:rPr>
                <w:rFonts w:ascii="Cambria Math" w:hAnsi="Cambria Math"/>
                <w:sz w:val="24"/>
              </w:rPr>
              <m:t>2</m:t>
            </m:r>
          </m:sub>
        </m:sSub>
        <m:r>
          <w:rPr>
            <w:rFonts w:ascii="Cambria Math" w:hAnsi="Cambria Math"/>
            <w:sz w:val="24"/>
          </w:rPr>
          <m:t>∙</m:t>
        </m:r>
        <m:sSub>
          <m:sSubPr>
            <m:ctrlPr>
              <w:rPr>
                <w:rFonts w:ascii="Cambria Math" w:hAnsi="Cambria Math"/>
                <w:i/>
                <w:sz w:val="24"/>
              </w:rPr>
            </m:ctrlPr>
          </m:sSubPr>
          <m:e>
            <m:r>
              <w:rPr>
                <w:rFonts w:ascii="Cambria Math" w:hAnsi="Cambria Math"/>
                <w:sz w:val="24"/>
              </w:rPr>
              <m:t>X</m:t>
            </m:r>
          </m:e>
          <m:sub>
            <m:r>
              <w:rPr>
                <w:rFonts w:ascii="Cambria Math" w:hAnsi="Cambria Math"/>
                <w:sz w:val="24"/>
              </w:rPr>
              <m:t>i2</m:t>
            </m:r>
          </m:sub>
        </m:sSub>
        <m: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i</m:t>
            </m:r>
          </m:sub>
        </m:sSub>
      </m:oMath>
      <w:r w:rsidRPr="00945795">
        <w:rPr>
          <w:rFonts w:eastAsiaTheme="minorEastAsia" w:cs="Arial"/>
          <w:sz w:val="24"/>
        </w:rPr>
        <w:t xml:space="preserve">   </w:t>
      </w:r>
      <w:r>
        <w:rPr>
          <w:rFonts w:eastAsiaTheme="minorEastAsia" w:cs="Arial"/>
          <w:sz w:val="24"/>
        </w:rPr>
        <w:t xml:space="preserve">                     </w:t>
      </w:r>
      <w:r w:rsidRPr="00945795">
        <w:rPr>
          <w:rFonts w:eastAsiaTheme="minorEastAsia" w:cs="Arial"/>
          <w:sz w:val="24"/>
        </w:rPr>
        <w:t xml:space="preserve">                </w:t>
      </w:r>
      <w:r>
        <w:rPr>
          <w:rFonts w:eastAsiaTheme="minorEastAsia" w:cs="Arial"/>
          <w:sz w:val="24"/>
        </w:rPr>
        <w:tab/>
        <w:t xml:space="preserve">         </w:t>
      </w:r>
      <w:r w:rsidR="004C00F6">
        <w:rPr>
          <w:rFonts w:eastAsiaTheme="minorEastAsia" w:cs="Arial"/>
          <w:sz w:val="24"/>
        </w:rPr>
        <w:t>(4</w:t>
      </w:r>
      <w:r w:rsidRPr="00945795">
        <w:rPr>
          <w:rFonts w:eastAsiaTheme="minorEastAsia" w:cs="Arial"/>
          <w:sz w:val="24"/>
        </w:rPr>
        <w:t>)</w:t>
      </w:r>
    </w:p>
    <w:p w:rsidR="004C4851" w:rsidRDefault="004C4851" w:rsidP="00945795">
      <w:pPr>
        <w:spacing w:line="360" w:lineRule="auto"/>
        <w:rPr>
          <w:rFonts w:eastAsiaTheme="minorEastAsia" w:cs="Arial"/>
          <w:sz w:val="24"/>
        </w:rPr>
      </w:pPr>
    </w:p>
    <w:p w:rsidR="00945795" w:rsidRDefault="00945795" w:rsidP="00AB2764">
      <w:r w:rsidRPr="00A70A3A">
        <w:t xml:space="preserve">Hatten på de tre β-parametre indikerer, at de er vores estimater, og </w:t>
      </w:r>
      <m:oMath>
        <m:sSub>
          <m:sSubPr>
            <m:ctrlPr>
              <w:rPr>
                <w:rFonts w:ascii="Cambria Math" w:hAnsi="Cambria Math"/>
              </w:rPr>
            </m:ctrlPr>
          </m:sSubPr>
          <m:e>
            <m:r>
              <w:rPr>
                <w:rFonts w:ascii="Cambria Math" w:hAnsi="Cambria Math"/>
              </w:rPr>
              <m:t>u</m:t>
            </m:r>
          </m:e>
          <m:sub>
            <m:r>
              <w:rPr>
                <w:rFonts w:ascii="Cambria Math" w:hAnsi="Cambria Math"/>
              </w:rPr>
              <m:t>i</m:t>
            </m:r>
          </m:sub>
        </m:sSub>
      </m:oMath>
      <w:r w:rsidRPr="00A70A3A">
        <w:t xml:space="preserve"> er den beregnede restværdi for hver af de 3.000 solgte boliger. </w:t>
      </w:r>
      <w:r w:rsidR="00F95ACD">
        <w:t>OLS (</w:t>
      </w:r>
      <w:proofErr w:type="spellStart"/>
      <w:r w:rsidR="00F95ACD">
        <w:t>Ordinary</w:t>
      </w:r>
      <w:proofErr w:type="spellEnd"/>
      <w:r w:rsidR="00F95ACD">
        <w:t xml:space="preserve"> </w:t>
      </w:r>
      <w:proofErr w:type="spellStart"/>
      <w:r w:rsidR="00F95ACD">
        <w:t>Least</w:t>
      </w:r>
      <w:proofErr w:type="spellEnd"/>
      <w:r w:rsidR="00F95ACD">
        <w:t xml:space="preserve"> Square) </w:t>
      </w:r>
      <w:r w:rsidR="00FB6888">
        <w:t>–</w:t>
      </w:r>
      <w:r w:rsidR="00F95ACD">
        <w:t>metoden</w:t>
      </w:r>
      <w:r w:rsidR="00FB6888">
        <w:t xml:space="preserve"> er en almindelig statistisk teknik, som bruges til at estimere parametrene i </w:t>
      </w:r>
      <w:r w:rsidR="001454C8">
        <w:t>en</w:t>
      </w:r>
      <w:r w:rsidR="00FB6888">
        <w:t xml:space="preserve"> lineære regressionsmodel. OLS-metoden anvendes til at finde den bedst tilpassede lineære ligning (regressionslinje</w:t>
      </w:r>
      <w:r w:rsidR="001454C8">
        <w:t>, jf. figur 1 og 2</w:t>
      </w:r>
      <w:r w:rsidR="00FB6888">
        <w:t xml:space="preserve">), der beskriver sammenhængen mellem den uafhængige variabel og de afhængige variable ved at minimere </w:t>
      </w:r>
      <w:r w:rsidR="001454C8">
        <w:t>de kvadrerede fejl (</w:t>
      </w:r>
      <w:proofErr w:type="spellStart"/>
      <w:r w:rsidR="001454C8">
        <w:t>residualer</w:t>
      </w:r>
      <w:proofErr w:type="spellEnd"/>
      <w:r w:rsidR="001454C8">
        <w:t>)</w:t>
      </w:r>
      <w:r w:rsidR="00FB6888">
        <w:t xml:space="preserve">. </w:t>
      </w:r>
      <w:r w:rsidRPr="00A70A3A">
        <w:t>Egenskaberne for OLS (</w:t>
      </w:r>
      <w:proofErr w:type="spellStart"/>
      <w:r w:rsidRPr="00A70A3A">
        <w:t>Ordinary</w:t>
      </w:r>
      <w:proofErr w:type="spellEnd"/>
      <w:r w:rsidRPr="00A70A3A">
        <w:t xml:space="preserve"> </w:t>
      </w:r>
      <w:proofErr w:type="spellStart"/>
      <w:r w:rsidRPr="00A70A3A">
        <w:t>Least</w:t>
      </w:r>
      <w:proofErr w:type="spellEnd"/>
      <w:r w:rsidRPr="00A70A3A">
        <w:t xml:space="preserve"> Square) indebærer, at summen og dermed gennemsnittet af restvær</w:t>
      </w:r>
      <w:r w:rsidRPr="00A70A3A">
        <w:lastRenderedPageBreak/>
        <w:t>dien er nul for</w:t>
      </w:r>
      <w:r w:rsidR="004C00F6">
        <w:t xml:space="preserve"> de 3.000 boliger, så ligning (4</w:t>
      </w:r>
      <w:r w:rsidRPr="00A70A3A">
        <w:t>) gælder uden fejlled, hvis vi indsætter gennemsnittet af de logaritmiske priser for de 3.000 solgte boliger sammen med gennemsnittet af de forklarende variable:</w:t>
      </w:r>
    </w:p>
    <w:p w:rsidR="00822635" w:rsidRPr="00A70A3A" w:rsidRDefault="00822635" w:rsidP="00AB2764"/>
    <w:p w:rsidR="00246441" w:rsidRDefault="00371F4A" w:rsidP="00AB2764">
      <m:oMath>
        <m:acc>
          <m:accPr>
            <m:chr m:val="̅"/>
            <m:ctrlPr>
              <w:rPr>
                <w:rFonts w:ascii="Cambria Math" w:hAnsi="Cambria Math"/>
              </w:rPr>
            </m:ctrlPr>
          </m:accPr>
          <m:e>
            <m:r>
              <w:rPr>
                <w:rFonts w:ascii="Cambria Math" w:hAnsi="Cambria Math"/>
              </w:rPr>
              <m:t>lnP</m:t>
            </m:r>
          </m:e>
        </m:acc>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m:t>
            </m:r>
          </m:sub>
        </m:sSub>
      </m:oMath>
      <w:r w:rsidR="00246441" w:rsidRPr="00A70A3A">
        <w:tab/>
      </w:r>
      <w:r w:rsidR="00246441" w:rsidRPr="00A70A3A">
        <w:tab/>
        <w:t xml:space="preserve"> </w:t>
      </w:r>
      <w:r w:rsidR="004C00F6">
        <w:t xml:space="preserve">                              </w:t>
      </w:r>
      <w:r w:rsidR="004C00F6">
        <w:tab/>
        <w:t xml:space="preserve">           (5</w:t>
      </w:r>
      <w:r w:rsidR="00246441" w:rsidRPr="00A70A3A">
        <w:t>)</w:t>
      </w:r>
      <w:r w:rsidR="00246441" w:rsidRPr="00A70A3A" w:rsidDel="00517128">
        <w:t xml:space="preserve"> </w:t>
      </w:r>
    </w:p>
    <w:p w:rsidR="00785C14" w:rsidRPr="00A70A3A" w:rsidRDefault="00785C14" w:rsidP="00AB2764"/>
    <w:p w:rsidR="00163BA8" w:rsidRDefault="00163BA8" w:rsidP="00AB2764">
      <w:r w:rsidRPr="00A70A3A">
        <w:t xml:space="preserve">I denne ligning repræsenterer variablene med en streg over gennemsnittet af de 3.000 individuelle observationer i første kvartal. Bemærk, at løbenummer i, der går fra 1 til </w:t>
      </w:r>
      <w:r w:rsidR="004C00F6">
        <w:t>3.000 er forsvundet i ligning (5</w:t>
      </w:r>
      <w:r w:rsidRPr="00A70A3A">
        <w:t>). Indtil nu har vi henvist til et bestemt kvartal, når vi præsentere</w:t>
      </w:r>
      <w:r w:rsidR="004C00F6">
        <w:t>r ligningerne, mening ligning (3</w:t>
      </w:r>
      <w:r w:rsidRPr="00A70A3A">
        <w:t>) kan naturligvis estimeres for alle kvartaler, så vi bør indføre en notation for perioden i ligning (4):</w:t>
      </w:r>
    </w:p>
    <w:p w:rsidR="00822635" w:rsidRPr="00A70A3A" w:rsidRDefault="00822635" w:rsidP="00AB2764"/>
    <w:p w:rsidR="00163BA8" w:rsidRDefault="00371F4A" w:rsidP="00AB2764">
      <m:oMath>
        <m:acc>
          <m:accPr>
            <m:chr m:val="̅"/>
            <m:ctrlPr>
              <w:rPr>
                <w:rFonts w:ascii="Cambria Math" w:hAnsi="Cambria Math"/>
              </w:rPr>
            </m:ctrlPr>
          </m:accPr>
          <m:e>
            <m:r>
              <w:rPr>
                <w:rFonts w:ascii="Cambria Math" w:hAnsi="Cambria Math"/>
              </w:rPr>
              <m:t>ln</m:t>
            </m:r>
            <m:sSub>
              <m:sSubPr>
                <m:ctrlPr>
                  <w:rPr>
                    <w:rFonts w:ascii="Cambria Math" w:hAnsi="Cambria Math"/>
                  </w:rPr>
                </m:ctrlPr>
              </m:sSubPr>
              <m:e>
                <m:r>
                  <w:rPr>
                    <w:rFonts w:ascii="Cambria Math" w:hAnsi="Cambria Math"/>
                  </w:rPr>
                  <m:t>P</m:t>
                </m:r>
              </m:e>
              <m:sub>
                <m:r>
                  <w:rPr>
                    <w:rFonts w:ascii="Cambria Math" w:hAnsi="Cambria Math"/>
                  </w:rPr>
                  <m:t>t</m:t>
                </m:r>
              </m:sub>
            </m:sSub>
          </m:e>
        </m:acc>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m:t>
            </m:r>
            <m:r>
              <w:rPr>
                <w:rFonts w:ascii="Cambria Math" w:hAnsi="Cambria Math"/>
              </w:rPr>
              <m:t>t</m:t>
            </m:r>
          </m:sub>
        </m:sSub>
      </m:oMath>
      <w:r w:rsidR="00163BA8" w:rsidRPr="00A70A3A">
        <w:tab/>
        <w:t xml:space="preserve">                          </w:t>
      </w:r>
      <w:r w:rsidR="0053088F" w:rsidRPr="00A70A3A">
        <w:tab/>
        <w:t xml:space="preserve">      </w:t>
      </w:r>
      <w:r w:rsidR="00163BA8" w:rsidRPr="00A70A3A">
        <w:t xml:space="preserve">   </w:t>
      </w:r>
      <w:r w:rsidR="004C00F6">
        <w:t>(6</w:t>
      </w:r>
      <w:r w:rsidR="00163BA8" w:rsidRPr="00A70A3A">
        <w:t>)</w:t>
      </w:r>
    </w:p>
    <w:p w:rsidR="00822635" w:rsidRPr="00A70A3A" w:rsidRDefault="00822635" w:rsidP="00AB2764"/>
    <w:p w:rsidR="00163BA8" w:rsidRPr="00A70A3A" w:rsidRDefault="00163BA8" w:rsidP="00AB2764">
      <w:r w:rsidRPr="00A70A3A">
        <w:t>Som notationen antyder, har vi et sæt estimerede β-parametre for hvert kvartal, og som allerede nævnt er der intet fejlled, så ligni</w:t>
      </w:r>
      <w:r w:rsidR="004C00F6">
        <w:t>ng (6</w:t>
      </w:r>
      <w:r w:rsidRPr="00A70A3A">
        <w:t>) kan ses som en nøjagtig eller definitionsmæssig opdeling af den gennemsnitlige salgspris på udvalgte karakteristika (</w:t>
      </w:r>
      <m:oMath>
        <m:acc>
          <m:accPr>
            <m:chr m:val="̅"/>
            <m:ctrlPr>
              <w:rPr>
                <w:rFonts w:ascii="Cambria Math" w:hAnsi="Cambria Math"/>
              </w:rPr>
            </m:ctrlPr>
          </m:accPr>
          <m:e>
            <m:r>
              <w:rPr>
                <w:rFonts w:ascii="Cambria Math" w:hAnsi="Cambria Math"/>
              </w:rPr>
              <m:t>X</m:t>
            </m:r>
          </m:e>
        </m:acc>
      </m:oMath>
      <w:r w:rsidRPr="00A70A3A">
        <w:t xml:space="preserve">’er) og deres parametre (β’er). Udviklingen over tid i </w:t>
      </w:r>
      <m:oMath>
        <m:acc>
          <m:accPr>
            <m:chr m:val="̅"/>
            <m:ctrlPr>
              <w:rPr>
                <w:rFonts w:ascii="Cambria Math" w:hAnsi="Cambria Math"/>
              </w:rPr>
            </m:ctrlPr>
          </m:accPr>
          <m:e>
            <m:r>
              <w:rPr>
                <w:rFonts w:ascii="Cambria Math" w:hAnsi="Cambria Math"/>
              </w:rPr>
              <m:t>X</m:t>
            </m:r>
          </m:e>
        </m:acc>
      </m:oMath>
      <w:r w:rsidR="0053088F" w:rsidRPr="00A70A3A">
        <w:t xml:space="preserve">’erne repræsenterer en kvalitativ og dermed en ikke-priskomponent i gennemsnitsprisen. Udviklingen over tid i β’erne, inklusiv konstanten </w:t>
      </w: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oMath>
      <w:r w:rsidR="0053088F" w:rsidRPr="00A70A3A">
        <w:t>, repræsenterer den rene priskomponent.</w:t>
      </w:r>
    </w:p>
    <w:p w:rsidR="00945795" w:rsidRPr="00A70A3A" w:rsidRDefault="004C00F6" w:rsidP="00AB2764">
      <w:r>
        <w:t>Selvom ligning (6</w:t>
      </w:r>
      <w:r w:rsidR="0053088F" w:rsidRPr="00A70A3A">
        <w:t xml:space="preserve">) altid holder pr. definition, betyder det ikke, at man altid kan stole på </w:t>
      </w:r>
      <w:proofErr w:type="spellStart"/>
      <w:r w:rsidR="0053088F" w:rsidRPr="00A70A3A">
        <w:t>dekomponeringen</w:t>
      </w:r>
      <w:proofErr w:type="spellEnd"/>
      <w:r w:rsidR="0053088F" w:rsidRPr="00A70A3A">
        <w:t xml:space="preserve"> i pris og kvalitet. De estimerede β’er kan være udsat for bi</w:t>
      </w:r>
      <w:r>
        <w:t>as, når regressionsmodellen i (3</w:t>
      </w:r>
      <w:r w:rsidR="0053088F" w:rsidRPr="00A70A3A">
        <w:t xml:space="preserve">) er fejlspecificeret, for eksempel på grund af udeladte variable. Alle estimerede parametre kan være misvisende, hvis der mangler en vigtig forklarende variabel i regressionsmodellen. </w:t>
      </w:r>
    </w:p>
    <w:p w:rsidR="00945795" w:rsidRPr="00A70A3A" w:rsidRDefault="0053088F" w:rsidP="00AB2764">
      <w:r w:rsidRPr="00A70A3A">
        <w:t>Generelt afspejler kvalite</w:t>
      </w:r>
      <w:r w:rsidR="004C00F6">
        <w:t>ten af ligning (6</w:t>
      </w:r>
      <w:r w:rsidRPr="00A70A3A">
        <w:t xml:space="preserve">) kvaliteten af data og regressionsmodellens evne til at forklare de observerede boligpriser i hvert kvartal. </w:t>
      </w:r>
    </w:p>
    <w:p w:rsidR="0053088F" w:rsidRDefault="004C00F6" w:rsidP="00AB2764">
      <w:r>
        <w:t>Ligning (6</w:t>
      </w:r>
      <w:r w:rsidR="0053088F" w:rsidRPr="00A70A3A">
        <w:t xml:space="preserve">) er udgangspunktet for beregningen af et kvalitetsjusteret </w:t>
      </w:r>
      <w:proofErr w:type="spellStart"/>
      <w:r w:rsidR="0053088F" w:rsidRPr="00A70A3A">
        <w:t>hedonisk</w:t>
      </w:r>
      <w:proofErr w:type="spellEnd"/>
      <w:r w:rsidR="0053088F" w:rsidRPr="00A70A3A">
        <w:t xml:space="preserve"> andelsboligprisindeks, og til dette </w:t>
      </w:r>
      <w:r w:rsidR="00A70A3A" w:rsidRPr="00A70A3A">
        <w:t>formå</w:t>
      </w:r>
      <w:r w:rsidR="0053088F" w:rsidRPr="00A70A3A">
        <w:t xml:space="preserve">l kan man bruge </w:t>
      </w:r>
      <w:proofErr w:type="spellStart"/>
      <w:r w:rsidR="0053088F" w:rsidRPr="00A70A3A">
        <w:t>dekomponeringen</w:t>
      </w:r>
      <w:proofErr w:type="spellEnd"/>
      <w:r w:rsidR="0053088F" w:rsidRPr="00A70A3A">
        <w:t xml:space="preserve"> af den gennemsnitlige logaritmiske pris </w:t>
      </w:r>
      <w:r w:rsidR="00AA7092" w:rsidRPr="00A70A3A">
        <w:t>(</w:t>
      </w:r>
      <m:oMath>
        <m:acc>
          <m:accPr>
            <m:chr m:val="̅"/>
            <m:ctrlPr>
              <w:rPr>
                <w:rFonts w:ascii="Cambria Math" w:hAnsi="Cambria Math"/>
              </w:rPr>
            </m:ctrlPr>
          </m:accPr>
          <m:e>
            <m:sSub>
              <m:sSubPr>
                <m:ctrlPr>
                  <w:rPr>
                    <w:rFonts w:ascii="Cambria Math" w:hAnsi="Cambria Math"/>
                  </w:rPr>
                </m:ctrlPr>
              </m:sSubPr>
              <m:e>
                <m:r>
                  <w:rPr>
                    <w:rFonts w:ascii="Cambria Math" w:hAnsi="Cambria Math"/>
                  </w:rPr>
                  <m:t>lnP</m:t>
                </m:r>
              </m:e>
              <m:sub>
                <m:r>
                  <w:rPr>
                    <w:rFonts w:ascii="Cambria Math" w:hAnsi="Cambria Math"/>
                  </w:rPr>
                  <m:t>t</m:t>
                </m:r>
              </m:sub>
            </m:sSub>
          </m:e>
        </m:acc>
        <m:r>
          <m:rPr>
            <m:sty m:val="p"/>
          </m:rPr>
          <w:rPr>
            <w:rFonts w:ascii="Cambria Math" w:hAnsi="Cambria Math"/>
          </w:rPr>
          <m:t xml:space="preserve">) </m:t>
        </m:r>
      </m:oMath>
      <w:r>
        <w:t>i ligning (6</w:t>
      </w:r>
      <w:r w:rsidR="00AA7092" w:rsidRPr="00A70A3A">
        <w:t>) på forskellige måder. Ved at tage den eksponentielle værdi på begge sider ændres ligningen til:</w:t>
      </w:r>
    </w:p>
    <w:p w:rsidR="00822635" w:rsidRPr="00A70A3A" w:rsidRDefault="00822635" w:rsidP="00945795">
      <w:pPr>
        <w:spacing w:line="360" w:lineRule="auto"/>
      </w:pPr>
    </w:p>
    <w:p w:rsidR="00AA7092" w:rsidRDefault="00AA7092" w:rsidP="00AA7092">
      <w:pPr>
        <w:spacing w:line="360" w:lineRule="auto"/>
      </w:pPr>
      <m:oMath>
        <m:r>
          <w:rPr>
            <w:rFonts w:ascii="Cambria Math" w:hAnsi="Cambria Math"/>
          </w:rPr>
          <m:t>exp</m:t>
        </m:r>
        <m:d>
          <m:dPr>
            <m:ctrlPr>
              <w:rPr>
                <w:rFonts w:ascii="Cambria Math" w:hAnsi="Cambria Math"/>
              </w:rPr>
            </m:ctrlPr>
          </m:dPr>
          <m:e>
            <m:acc>
              <m:accPr>
                <m:chr m:val="̅"/>
                <m:ctrlPr>
                  <w:rPr>
                    <w:rFonts w:ascii="Cambria Math" w:hAnsi="Cambria Math"/>
                  </w:rPr>
                </m:ctrlPr>
              </m:accPr>
              <m:e>
                <m:r>
                  <w:rPr>
                    <w:rFonts w:ascii="Cambria Math" w:hAnsi="Cambria Math"/>
                  </w:rPr>
                  <m:t>ln</m:t>
                </m:r>
                <m:sSub>
                  <m:sSubPr>
                    <m:ctrlPr>
                      <w:rPr>
                        <w:rFonts w:ascii="Cambria Math" w:hAnsi="Cambria Math"/>
                      </w:rPr>
                    </m:ctrlPr>
                  </m:sSubPr>
                  <m:e>
                    <m:r>
                      <w:rPr>
                        <w:rFonts w:ascii="Cambria Math" w:hAnsi="Cambria Math"/>
                      </w:rPr>
                      <m:t>P</m:t>
                    </m:r>
                  </m:e>
                  <m:sub>
                    <m:r>
                      <w:rPr>
                        <w:rFonts w:ascii="Cambria Math" w:hAnsi="Cambria Math"/>
                      </w:rPr>
                      <m:t>t</m:t>
                    </m:r>
                  </m:sub>
                </m:sSub>
              </m:e>
            </m:acc>
          </m:e>
        </m:d>
        <m:r>
          <m:rPr>
            <m:sty m:val="p"/>
          </m:rPr>
          <w:rPr>
            <w:rFonts w:ascii="Cambria Math" w:hAnsi="Cambria Math"/>
          </w:rPr>
          <m:t xml:space="preserve">= </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r>
                  <w:rPr>
                    <w:rFonts w:ascii="Cambria Math" w:hAnsi="Cambria Math"/>
                  </w:rPr>
                  <m:t>t</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3</m:t>
                </m:r>
                <m:r>
                  <w:rPr>
                    <w:rFonts w:ascii="Cambria Math" w:hAnsi="Cambria Math"/>
                  </w:rPr>
                  <m:t>t</m:t>
                </m:r>
              </m:sub>
            </m:sSub>
          </m:e>
        </m:d>
      </m:oMath>
      <w:r w:rsidRPr="00A70A3A">
        <w:t xml:space="preserve">                     </w:t>
      </w:r>
      <w:r w:rsidR="004C00F6">
        <w:t xml:space="preserve">                 </w:t>
      </w:r>
      <w:r w:rsidRPr="00A70A3A">
        <w:t xml:space="preserve">    </w:t>
      </w:r>
      <w:r w:rsidR="004C00F6">
        <w:t>(7</w:t>
      </w:r>
      <w:r w:rsidRPr="00A70A3A">
        <w:t>)</w:t>
      </w:r>
    </w:p>
    <w:p w:rsidR="00822635" w:rsidRPr="00A70A3A" w:rsidRDefault="00822635" w:rsidP="00AA7092">
      <w:pPr>
        <w:spacing w:line="360" w:lineRule="auto"/>
      </w:pPr>
    </w:p>
    <w:p w:rsidR="00AA7092" w:rsidRPr="00A70A3A" w:rsidRDefault="004C00F6" w:rsidP="00AB2764">
      <w:r>
        <w:t>Venstre side af ligning (7</w:t>
      </w:r>
      <w:r w:rsidR="00AA7092" w:rsidRPr="00A70A3A">
        <w:t>) svarer til det geometriske gennemsnit af boligpriserne i periode t, hvilke ikke er det sam</w:t>
      </w:r>
      <w:r w:rsidR="00A70A3A" w:rsidRPr="00A70A3A">
        <w:t>m</w:t>
      </w:r>
      <w:r w:rsidR="00AA7092" w:rsidRPr="00A70A3A">
        <w:t xml:space="preserve">e som det aritmetiske gennemsnit. Det aritmetiske gennemsnit er mere påvirket af høje priser end det geometriske gennemsnit. For eksempel er det aritmetiske gennemsnit af 500.000 kr. og 2.000.000 kr. lig med 1.250.000 </w:t>
      </w:r>
      <w:proofErr w:type="spellStart"/>
      <w:r w:rsidR="00AA7092" w:rsidRPr="00A70A3A">
        <w:t>kr</w:t>
      </w:r>
      <w:proofErr w:type="spellEnd"/>
      <w:r w:rsidR="00AA7092" w:rsidRPr="00A70A3A">
        <w:t xml:space="preserve">, mens det geometriske gennemsnit kun er 1.000.000 kr. Ved at bruge det geometriske gennemsnit annulleres en prisdobling og en prishalvering, mens prisfordoblingen dominerer det aritmetiske gennemsnit. </w:t>
      </w:r>
    </w:p>
    <w:p w:rsidR="005227C7" w:rsidRPr="00A70A3A" w:rsidRDefault="005227C7" w:rsidP="00AB2764">
      <w:r w:rsidRPr="00A70A3A">
        <w:t xml:space="preserve">Hvis vi </w:t>
      </w:r>
      <w:r w:rsidR="00A70A3A" w:rsidRPr="00A70A3A">
        <w:t xml:space="preserve">i </w:t>
      </w:r>
      <w:r w:rsidRPr="00A70A3A">
        <w:t>ligni</w:t>
      </w:r>
      <w:r w:rsidR="004C00F6">
        <w:t>ng (3</w:t>
      </w:r>
      <w:r w:rsidRPr="00A70A3A">
        <w:t xml:space="preserve">) i stedet brugte den rene boligpris og ikke den logaritmiske </w:t>
      </w:r>
      <w:r w:rsidR="00A70A3A">
        <w:t>boligpris</w:t>
      </w:r>
      <w:r w:rsidRPr="00A70A3A">
        <w:t>, ville vi ende med det ari</w:t>
      </w:r>
      <w:r w:rsidR="004C00F6">
        <w:t>tmetiske gennemsnit i ligning (6</w:t>
      </w:r>
      <w:r w:rsidRPr="00A70A3A">
        <w:t xml:space="preserve">). Regressionsmodellen forklarer dog de logaritme transformerede boligpriser, fordi den bringer fordelingen af </w:t>
      </w:r>
      <w:proofErr w:type="spellStart"/>
      <w:r w:rsidRPr="00A70A3A">
        <w:t>residualerne</w:t>
      </w:r>
      <w:proofErr w:type="spellEnd"/>
      <w:r w:rsidRPr="00A70A3A">
        <w:t xml:space="preserve"> tættere på normalfordelingen.</w:t>
      </w:r>
    </w:p>
    <w:p w:rsidR="003F00A6" w:rsidRDefault="003F00A6" w:rsidP="00AB2764">
      <w:pPr>
        <w:rPr>
          <w:b/>
        </w:rPr>
      </w:pPr>
    </w:p>
    <w:p w:rsidR="00110F3C" w:rsidRDefault="00110F3C">
      <w:pPr>
        <w:spacing w:after="200" w:line="276" w:lineRule="auto"/>
        <w:jc w:val="left"/>
        <w:rPr>
          <w:b/>
        </w:rPr>
      </w:pPr>
      <w:r>
        <w:rPr>
          <w:b/>
        </w:rPr>
        <w:br w:type="page"/>
      </w:r>
    </w:p>
    <w:p w:rsidR="00324867" w:rsidRDefault="00324867" w:rsidP="00AB2764">
      <w:pPr>
        <w:rPr>
          <w:b/>
        </w:rPr>
      </w:pPr>
      <w:r>
        <w:rPr>
          <w:b/>
        </w:rPr>
        <w:lastRenderedPageBreak/>
        <w:t xml:space="preserve">Ad. d) </w:t>
      </w:r>
      <w:r w:rsidRPr="000B7FD6">
        <w:rPr>
          <w:b/>
        </w:rPr>
        <w:t>Prisindeksberegning</w:t>
      </w:r>
      <w:r>
        <w:rPr>
          <w:b/>
        </w:rPr>
        <w:t>:</w:t>
      </w:r>
    </w:p>
    <w:p w:rsidR="00735AFC" w:rsidRPr="00591B38" w:rsidRDefault="00735AFC" w:rsidP="00AB2764">
      <w:pPr>
        <w:ind w:right="284"/>
      </w:pPr>
      <w:r w:rsidRPr="00591B38">
        <w:t xml:space="preserve">Der findes fire typer af </w:t>
      </w:r>
      <w:proofErr w:type="spellStart"/>
      <w:r w:rsidRPr="00591B38">
        <w:t>hedoniske</w:t>
      </w:r>
      <w:proofErr w:type="spellEnd"/>
      <w:r w:rsidRPr="00591B38">
        <w:t xml:space="preserve"> metoder til at beregne </w:t>
      </w:r>
      <w:proofErr w:type="spellStart"/>
      <w:r w:rsidRPr="00591B38">
        <w:t>hedoniske</w:t>
      </w:r>
      <w:proofErr w:type="spellEnd"/>
      <w:r w:rsidRPr="00591B38">
        <w:t xml:space="preserve"> prisindeks. </w:t>
      </w:r>
      <w:proofErr w:type="spellStart"/>
      <w:r w:rsidRPr="00591B38">
        <w:t>Triplett</w:t>
      </w:r>
      <w:proofErr w:type="spellEnd"/>
      <w:r w:rsidRPr="00591B38">
        <w:t>(2006) inddeler disse metoder i to overordnet grupper: Den direkte metode og den indirekte metode</w:t>
      </w:r>
      <w:r w:rsidR="00591B38">
        <w:rPr>
          <w:rStyle w:val="Fodnotehenvisning"/>
        </w:rPr>
        <w:footnoteReference w:id="3"/>
      </w:r>
      <w:r w:rsidRPr="00591B38">
        <w:t>:</w:t>
      </w:r>
    </w:p>
    <w:p w:rsidR="00735AFC" w:rsidRPr="00A855FD" w:rsidRDefault="00735AFC" w:rsidP="00AB2764">
      <w:pPr>
        <w:ind w:left="283" w:right="283"/>
        <w:rPr>
          <w:rFonts w:ascii="Times New Roman" w:hAnsi="Times New Roman"/>
          <w:sz w:val="26"/>
          <w:szCs w:val="26"/>
        </w:rPr>
      </w:pPr>
    </w:p>
    <w:p w:rsidR="00735AFC" w:rsidRPr="002958DD" w:rsidRDefault="007E3E86" w:rsidP="00AB2764">
      <w:pPr>
        <w:ind w:right="284"/>
      </w:pPr>
      <w:r w:rsidRPr="002958DD">
        <w:rPr>
          <w:noProof/>
        </w:rPr>
        <mc:AlternateContent>
          <mc:Choice Requires="wps">
            <w:drawing>
              <wp:anchor distT="0" distB="0" distL="114300" distR="114300" simplePos="0" relativeHeight="251654144" behindDoc="0" locked="0" layoutInCell="1" allowOverlap="1" wp14:anchorId="0253A500" wp14:editId="5DED91BE">
                <wp:simplePos x="0" y="0"/>
                <wp:positionH relativeFrom="column">
                  <wp:posOffset>1747256</wp:posOffset>
                </wp:positionH>
                <wp:positionV relativeFrom="paragraph">
                  <wp:posOffset>6518</wp:posOffset>
                </wp:positionV>
                <wp:extent cx="96520" cy="310551"/>
                <wp:effectExtent l="0" t="0" r="17780" b="13335"/>
                <wp:wrapNone/>
                <wp:docPr id="7" name="Højre klammeparentes 7"/>
                <wp:cNvGraphicFramePr/>
                <a:graphic xmlns:a="http://schemas.openxmlformats.org/drawingml/2006/main">
                  <a:graphicData uri="http://schemas.microsoft.com/office/word/2010/wordprocessingShape">
                    <wps:wsp>
                      <wps:cNvSpPr/>
                      <wps:spPr>
                        <a:xfrm>
                          <a:off x="0" y="0"/>
                          <a:ext cx="96520" cy="3105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3B8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7" o:spid="_x0000_s1026" type="#_x0000_t88" style="position:absolute;margin-left:137.6pt;margin-top:.5pt;width:7.6pt;height:2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" adj="559" strokecolor="#4579b8 [3044]"/>
            </w:pict>
          </mc:Fallback>
        </mc:AlternateContent>
      </w:r>
      <w:r w:rsidRPr="009C1421">
        <w:rPr>
          <w:noProof/>
        </w:rPr>
        <mc:AlternateContent>
          <mc:Choice Requires="wps">
            <w:drawing>
              <wp:anchor distT="0" distB="0" distL="114300" distR="114300" simplePos="0" relativeHeight="251658240" behindDoc="0" locked="0" layoutInCell="1" allowOverlap="1" wp14:anchorId="7DFD0E53" wp14:editId="701B70FF">
                <wp:simplePos x="0" y="0"/>
                <wp:positionH relativeFrom="column">
                  <wp:posOffset>1957297</wp:posOffset>
                </wp:positionH>
                <wp:positionV relativeFrom="paragraph">
                  <wp:posOffset>113030</wp:posOffset>
                </wp:positionV>
                <wp:extent cx="1384300" cy="285750"/>
                <wp:effectExtent l="0" t="0" r="6350" b="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5750"/>
                        </a:xfrm>
                        <a:prstGeom prst="rect">
                          <a:avLst/>
                        </a:prstGeom>
                        <a:solidFill>
                          <a:srgbClr val="FFFFFF"/>
                        </a:solidFill>
                        <a:ln w="9525">
                          <a:noFill/>
                          <a:miter lim="800000"/>
                          <a:headEnd/>
                          <a:tailEnd/>
                        </a:ln>
                      </wps:spPr>
                      <wps:txbx>
                        <w:txbxContent>
                          <w:p w:rsidR="00371F4A" w:rsidRDefault="00371F4A" w:rsidP="00735AFC">
                            <w:r>
                              <w:t>direkte metode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D0E53" id="_x0000_t202" coordsize="21600,21600" o:spt="202" path="m,l,21600r21600,l21600,xe">
                <v:stroke joinstyle="miter"/>
                <v:path gradientshapeok="t" o:connecttype="rect"/>
              </v:shapetype>
              <v:shape id="Tekstfelt 2" o:spid="_x0000_s1026" type="#_x0000_t202" style="position:absolute;left:0;text-align:left;margin-left:154.1pt;margin-top:8.9pt;width:109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" stroked="f">
                <v:textbox>
                  <w:txbxContent>
                    <w:p w:rsidR="00371F4A" w:rsidRDefault="00371F4A" w:rsidP="00735AFC">
                      <w:r>
                        <w:t>direkte metode</w:t>
                      </w:r>
                    </w:p>
                  </w:txbxContent>
                </v:textbox>
              </v:shape>
            </w:pict>
          </mc:Fallback>
        </mc:AlternateContent>
      </w:r>
      <w:r w:rsidR="00735AFC" w:rsidRPr="002958DD">
        <w:t>1. Tidsdummy metoden</w:t>
      </w:r>
    </w:p>
    <w:p w:rsidR="00735AFC" w:rsidRPr="002958DD" w:rsidRDefault="00735AFC" w:rsidP="00AB2764">
      <w:pPr>
        <w:pStyle w:val="Listeafsnit"/>
        <w:ind w:left="0" w:right="284"/>
      </w:pPr>
      <w:r w:rsidRPr="002958DD">
        <w:t>2. Karakteristika metoden</w:t>
      </w:r>
    </w:p>
    <w:p w:rsidR="00735AFC" w:rsidRPr="002958DD" w:rsidRDefault="007E3E86" w:rsidP="00AB2764">
      <w:pPr>
        <w:pStyle w:val="Listeafsnit"/>
        <w:ind w:left="0" w:right="284"/>
      </w:pPr>
      <w:r w:rsidRPr="002958DD">
        <w:rPr>
          <w:noProof/>
        </w:rPr>
        <mc:AlternateContent>
          <mc:Choice Requires="wps">
            <w:drawing>
              <wp:anchor distT="0" distB="0" distL="114300" distR="114300" simplePos="0" relativeHeight="251663360" behindDoc="0" locked="0" layoutInCell="1" allowOverlap="1" wp14:anchorId="11D7DF85" wp14:editId="21A6B0B5">
                <wp:simplePos x="0" y="0"/>
                <wp:positionH relativeFrom="column">
                  <wp:posOffset>1743710</wp:posOffset>
                </wp:positionH>
                <wp:positionV relativeFrom="paragraph">
                  <wp:posOffset>33175</wp:posOffset>
                </wp:positionV>
                <wp:extent cx="96520" cy="310551"/>
                <wp:effectExtent l="0" t="0" r="17780" b="13335"/>
                <wp:wrapNone/>
                <wp:docPr id="2" name="Højre klammeparentes 2"/>
                <wp:cNvGraphicFramePr/>
                <a:graphic xmlns:a="http://schemas.openxmlformats.org/drawingml/2006/main">
                  <a:graphicData uri="http://schemas.microsoft.com/office/word/2010/wordprocessingShape">
                    <wps:wsp>
                      <wps:cNvSpPr/>
                      <wps:spPr>
                        <a:xfrm>
                          <a:off x="0" y="0"/>
                          <a:ext cx="96520" cy="3105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BBB9A" id="Højre klammeparentes 2" o:spid="_x0000_s1026" type="#_x0000_t88" style="position:absolute;margin-left:137.3pt;margin-top:2.6pt;width:7.6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" adj="559" strokecolor="#4579b8 [3044]"/>
            </w:pict>
          </mc:Fallback>
        </mc:AlternateContent>
      </w:r>
      <w:r w:rsidRPr="002958DD">
        <w:rPr>
          <w:noProof/>
        </w:rPr>
        <mc:AlternateContent>
          <mc:Choice Requires="wps">
            <w:drawing>
              <wp:anchor distT="0" distB="0" distL="114300" distR="114300" simplePos="0" relativeHeight="251661312" behindDoc="0" locked="0" layoutInCell="1" allowOverlap="1" wp14:anchorId="67CAE7BC" wp14:editId="6E29164C">
                <wp:simplePos x="0" y="0"/>
                <wp:positionH relativeFrom="column">
                  <wp:posOffset>1955069</wp:posOffset>
                </wp:positionH>
                <wp:positionV relativeFrom="paragraph">
                  <wp:posOffset>75732</wp:posOffset>
                </wp:positionV>
                <wp:extent cx="1522095" cy="285750"/>
                <wp:effectExtent l="0" t="0" r="1905" b="0"/>
                <wp:wrapNone/>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285750"/>
                        </a:xfrm>
                        <a:prstGeom prst="rect">
                          <a:avLst/>
                        </a:prstGeom>
                        <a:solidFill>
                          <a:srgbClr val="FFFFFF"/>
                        </a:solidFill>
                        <a:ln w="9525">
                          <a:noFill/>
                          <a:miter lim="800000"/>
                          <a:headEnd/>
                          <a:tailEnd/>
                        </a:ln>
                      </wps:spPr>
                      <wps:txbx>
                        <w:txbxContent>
                          <w:p w:rsidR="00371F4A" w:rsidRDefault="00371F4A" w:rsidP="00735AFC">
                            <w:r>
                              <w:t>indirekte metode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AE7BC" id="_x0000_s1027" type="#_x0000_t202" style="position:absolute;left:0;text-align:left;margin-left:153.95pt;margin-top:5.95pt;width:119.8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" stroked="f">
                <v:textbox>
                  <w:txbxContent>
                    <w:p w:rsidR="00371F4A" w:rsidRDefault="00371F4A" w:rsidP="00735AFC">
                      <w:r>
                        <w:t>indirekte metode</w:t>
                      </w:r>
                    </w:p>
                  </w:txbxContent>
                </v:textbox>
              </v:shape>
            </w:pict>
          </mc:Fallback>
        </mc:AlternateContent>
      </w:r>
      <w:r w:rsidR="00735AFC" w:rsidRPr="002958DD">
        <w:t>3. Pris-</w:t>
      </w:r>
      <w:proofErr w:type="spellStart"/>
      <w:r w:rsidR="00735AFC" w:rsidRPr="002958DD">
        <w:t>imputerings</w:t>
      </w:r>
      <w:proofErr w:type="spellEnd"/>
      <w:r w:rsidR="00735AFC" w:rsidRPr="002958DD">
        <w:t xml:space="preserve"> metoden</w:t>
      </w:r>
    </w:p>
    <w:p w:rsidR="00735AFC" w:rsidRPr="002958DD" w:rsidRDefault="00735AFC" w:rsidP="00AB2764">
      <w:pPr>
        <w:pStyle w:val="Listeafsnit"/>
        <w:ind w:left="0" w:right="284"/>
      </w:pPr>
      <w:r w:rsidRPr="002958DD">
        <w:t>4. Re-</w:t>
      </w:r>
      <w:proofErr w:type="spellStart"/>
      <w:r w:rsidRPr="002958DD">
        <w:t>pricing</w:t>
      </w:r>
      <w:proofErr w:type="spellEnd"/>
      <w:r w:rsidRPr="002958DD">
        <w:t xml:space="preserve"> metoden</w:t>
      </w:r>
    </w:p>
    <w:p w:rsidR="00735AFC" w:rsidRDefault="00735AFC" w:rsidP="00AB2764">
      <w:pPr>
        <w:ind w:right="283"/>
        <w:rPr>
          <w:rFonts w:ascii="Times New Roman" w:hAnsi="Times New Roman"/>
          <w:sz w:val="26"/>
          <w:szCs w:val="26"/>
        </w:rPr>
      </w:pPr>
    </w:p>
    <w:p w:rsidR="000A1CD3" w:rsidRDefault="00CF7030" w:rsidP="00AB2764">
      <w:r w:rsidRPr="00CF7030">
        <w:t xml:space="preserve">De to </w:t>
      </w:r>
      <w:r w:rsidR="00F2012C">
        <w:t xml:space="preserve">direkte metoder er baseret på produkternes egenskaber og bruger en </w:t>
      </w:r>
      <w:proofErr w:type="spellStart"/>
      <w:r w:rsidR="00F2012C">
        <w:t>hedonisk</w:t>
      </w:r>
      <w:proofErr w:type="spellEnd"/>
      <w:r w:rsidR="00F2012C">
        <w:t xml:space="preserve"> regression til at bestemme prisudviklingen for produkternes kvan</w:t>
      </w:r>
      <w:r w:rsidR="00BF4FED">
        <w:t>tificerbare egenskaber. Dvs., at</w:t>
      </w:r>
      <w:r w:rsidR="00F2012C">
        <w:t xml:space="preserve"> de direkte metoder fuldt ud er baseret på produkternes egenskaber og </w:t>
      </w:r>
      <w:r w:rsidR="00E65959">
        <w:t xml:space="preserve">det resulterende prisindeks inkluderer udelukkende estimerede priser. </w:t>
      </w:r>
      <w:r w:rsidR="00B22D75">
        <w:t>Der findes flere varianter inden for tidsdummy-metoden, herunder den multiple tidsdummy-metode, som indeholder mere end to tidsperioder og rolling-time-dummy metoden, som er den metode Danmar</w:t>
      </w:r>
      <w:r w:rsidR="00BF4FED">
        <w:t>ks Statistik har valgt at bruge.</w:t>
      </w:r>
      <w:r w:rsidR="00475624">
        <w:t xml:space="preserve"> Ved brug af de direkte metoder har man ikke et datasæt med kvalitetskorrigerede priser for </w:t>
      </w:r>
      <w:r w:rsidR="000A1CD3">
        <w:t>samtlige observationer</w:t>
      </w:r>
      <w:r w:rsidR="00475624">
        <w:t xml:space="preserve"> i datasættet, men man bruger i stedet regressionslinjen til at beregne et </w:t>
      </w:r>
      <w:proofErr w:type="spellStart"/>
      <w:r w:rsidR="00475624">
        <w:t>hedonisk</w:t>
      </w:r>
      <w:proofErr w:type="spellEnd"/>
      <w:r w:rsidR="00475624">
        <w:t xml:space="preserve"> prisindeks.</w:t>
      </w:r>
    </w:p>
    <w:p w:rsidR="000A1CD3" w:rsidRDefault="000A1CD3" w:rsidP="00AB2764"/>
    <w:p w:rsidR="00735AFC" w:rsidRDefault="00F2012C" w:rsidP="00AB2764">
      <w:r w:rsidRPr="00F2012C">
        <w:t xml:space="preserve">De indirekte metoder omtales også som sammensatte metoder. </w:t>
      </w:r>
      <w:r>
        <w:t xml:space="preserve">Udgangspunktet er, at et produkt findes i forskellige modeller. Nogle modeller ændrer kvalitet i løbet af deres livscyklus (intet prismatch), mens andre modeller ikke ændrer kvalitet (prismatch). For modellerne med prismatch kan prisen direkte sammenlignes og de indirekte metoder anvender de uændrede prismodeller direkte i et prisindeks. For modellerne uden prismatch anvendes en </w:t>
      </w:r>
      <w:proofErr w:type="spellStart"/>
      <w:r>
        <w:t>hedonisk</w:t>
      </w:r>
      <w:proofErr w:type="spellEnd"/>
      <w:r>
        <w:t xml:space="preserve"> regression til at beregne den rene prisudvikling og indsætter disse priser i det traditionelle prisindeks med prismatch. </w:t>
      </w:r>
      <w:r w:rsidR="00E65959">
        <w:t>D</w:t>
      </w:r>
      <w:r w:rsidR="00BF4FED">
        <w:t>atasættet og det</w:t>
      </w:r>
      <w:r w:rsidR="00E65959">
        <w:t xml:space="preserve"> resulte</w:t>
      </w:r>
      <w:r>
        <w:t xml:space="preserve">rende prisindeks </w:t>
      </w:r>
      <w:r w:rsidR="00BF4FED">
        <w:t xml:space="preserve">er </w:t>
      </w:r>
      <w:r w:rsidR="00475624">
        <w:t xml:space="preserve">således </w:t>
      </w:r>
      <w:r w:rsidR="00BF4FED">
        <w:t xml:space="preserve">en blanding af </w:t>
      </w:r>
      <w:r>
        <w:t xml:space="preserve">både observérbare priser og </w:t>
      </w:r>
      <w:proofErr w:type="spellStart"/>
      <w:r>
        <w:t>hedoniske</w:t>
      </w:r>
      <w:proofErr w:type="spellEnd"/>
      <w:r>
        <w:t xml:space="preserve"> estimere priser. </w:t>
      </w:r>
    </w:p>
    <w:p w:rsidR="00785C14" w:rsidRDefault="00785C14" w:rsidP="00AB2764">
      <w:r>
        <w:t>Jo</w:t>
      </w:r>
      <w:r w:rsidR="00B22D75">
        <w:t xml:space="preserve"> flere observationer i datasættet, der ikke har prismatch</w:t>
      </w:r>
      <w:r w:rsidR="00BF4FED">
        <w:t xml:space="preserve"> og dermed skal estimeres</w:t>
      </w:r>
      <w:r w:rsidR="00B22D75">
        <w:t xml:space="preserve">, jo mere </w:t>
      </w:r>
      <w:r>
        <w:t>vil d</w:t>
      </w:r>
      <w:r w:rsidR="00B22D75">
        <w:t xml:space="preserve">e direkte og indirekte metoder </w:t>
      </w:r>
      <w:r>
        <w:t>ligne hinanden.</w:t>
      </w:r>
      <w:r w:rsidR="00AA1C5D">
        <w:t xml:space="preserve"> For boliger er der typisk ikke prismatch fra kvartal til kvartal, da den samme bolig ikke handles i to på hinanden følgende kvartaler og så er der ikke den store forskel mellem metoderne.</w:t>
      </w:r>
      <w:r w:rsidR="00974C03">
        <w:t xml:space="preserve"> I praksis er det nemmere at bruge en direkte metode end en indirekte metode, især hvis datasættet indeholder mange observationer.</w:t>
      </w:r>
      <w:r w:rsidR="00FF730E">
        <w:t xml:space="preserve"> Danmarks Statistik har </w:t>
      </w:r>
      <w:r w:rsidR="00FA400B">
        <w:t xml:space="preserve">bl.a. </w:t>
      </w:r>
      <w:r w:rsidR="00FF730E">
        <w:t>derfor valgt at bruge (en variant) af ti</w:t>
      </w:r>
      <w:r w:rsidR="00F9413A">
        <w:t>dsdummy-metoden.</w:t>
      </w:r>
    </w:p>
    <w:p w:rsidR="00AA1C5D" w:rsidRDefault="00AA1C5D" w:rsidP="00E65959">
      <w:pPr>
        <w:spacing w:line="360" w:lineRule="auto"/>
      </w:pPr>
    </w:p>
    <w:p w:rsidR="00785C14" w:rsidRDefault="00B51587" w:rsidP="00E65959">
      <w:pPr>
        <w:spacing w:line="360" w:lineRule="auto"/>
        <w:rPr>
          <w:b/>
        </w:rPr>
      </w:pPr>
      <w:r w:rsidRPr="00B51587">
        <w:rPr>
          <w:b/>
        </w:rPr>
        <w:t>Tidsdummy-metoden:</w:t>
      </w:r>
    </w:p>
    <w:p w:rsidR="00B31971" w:rsidRPr="002958DD" w:rsidRDefault="00B51587" w:rsidP="00AB2764">
      <w:r w:rsidRPr="00B51587">
        <w:t>Hvis vi tager udgangspunkt i to på hinanden følgende kvartaler og vælger at ignorere variati</w:t>
      </w:r>
      <w:r w:rsidR="000A1CD3">
        <w:t>onen i</w:t>
      </w:r>
      <w:r w:rsidRPr="00B51587">
        <w:t xml:space="preserve"> parametrene </w:t>
      </w:r>
      <w:r w:rsidR="000A1CD3">
        <w:t>til X’erne, vil det kun være</w:t>
      </w:r>
      <w:r>
        <w:t xml:space="preserve"> konstanten </w:t>
      </w: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oMath>
      <w:r w:rsidRPr="00B51587">
        <w:t xml:space="preserve"> i ligning (3)</w:t>
      </w:r>
      <w:r w:rsidR="000A1CD3">
        <w:t>, der</w:t>
      </w:r>
      <w:r w:rsidRPr="00B51587">
        <w:t xml:space="preserve"> </w:t>
      </w:r>
      <w:r w:rsidR="00B31971">
        <w:t xml:space="preserve">varierer mellem de to på hinanden følgende kvartaler. Ændringen i konstanten </w:t>
      </w: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oMath>
      <w:r w:rsidR="00B31971">
        <w:t xml:space="preserve"> kan estimeres ved at supplere ligning (3) med en tidsdummy </w:t>
      </w:r>
      <m:oMath>
        <m:sSub>
          <m:sSubPr>
            <m:ctrlPr>
              <w:rPr>
                <w:rFonts w:ascii="Cambria Math" w:hAnsi="Cambria Math"/>
              </w:rPr>
            </m:ctrlPr>
          </m:sSubPr>
          <m:e>
            <m:r>
              <w:rPr>
                <w:rFonts w:ascii="Cambria Math" w:hAnsi="Cambria Math"/>
              </w:rPr>
              <m:t>D</m:t>
            </m:r>
          </m:e>
          <m:sub>
            <m:r>
              <w:rPr>
                <w:rFonts w:ascii="Cambria Math" w:hAnsi="Cambria Math"/>
              </w:rPr>
              <m:t>t</m:t>
            </m:r>
          </m:sub>
        </m:sSub>
      </m:oMath>
      <w:r w:rsidR="00B31971" w:rsidRPr="002958DD">
        <w:t>, der er nul i kvartal et og en i kvartal to:</w:t>
      </w:r>
    </w:p>
    <w:p w:rsidR="00B31971" w:rsidRPr="002958DD" w:rsidRDefault="00B31971" w:rsidP="00E65959">
      <w:pPr>
        <w:spacing w:line="360" w:lineRule="auto"/>
      </w:pPr>
    </w:p>
    <w:p w:rsidR="00B51587" w:rsidRDefault="00B31971" w:rsidP="00E65959">
      <w:pPr>
        <w:spacing w:line="360" w:lineRule="auto"/>
      </w:pPr>
      <m:oMath>
        <m:r>
          <w:rPr>
            <w:rFonts w:ascii="Cambria Math" w:hAnsi="Cambria Math"/>
          </w:rPr>
          <m:t>ln</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oMath>
      <w:r w:rsidRPr="002958DD">
        <w:t xml:space="preserve"> </w:t>
      </w:r>
      <w:r w:rsidRPr="002958DD">
        <w:tab/>
        <w:t xml:space="preserve">  </w:t>
      </w:r>
      <w:r>
        <w:t xml:space="preserve"> </w:t>
      </w:r>
      <w:r>
        <w:tab/>
        <w:t xml:space="preserve">           (8)</w:t>
      </w:r>
    </w:p>
    <w:p w:rsidR="00B31971" w:rsidRDefault="00B31971" w:rsidP="00E65959">
      <w:pPr>
        <w:spacing w:line="360" w:lineRule="auto"/>
      </w:pPr>
    </w:p>
    <w:p w:rsidR="00B31971" w:rsidRDefault="00B31971" w:rsidP="00AB2764">
      <w:r>
        <w:t>Ligning (8) er estimeret for en stikprøve, der omfatter boligsalget i begge kvartaler og den estimerede ligning er:</w:t>
      </w:r>
    </w:p>
    <w:p w:rsidR="00B31971" w:rsidRDefault="00B31971" w:rsidP="00AB2764"/>
    <w:p w:rsidR="00B31971" w:rsidRPr="002958DD" w:rsidRDefault="00B31971" w:rsidP="00AB2764">
      <m:oMath>
        <m:r>
          <w:rPr>
            <w:rFonts w:ascii="Cambria Math" w:hAnsi="Cambria Math"/>
          </w:rPr>
          <w:lastRenderedPageBreak/>
          <m:t>ln</m:t>
        </m:r>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i</m:t>
            </m:r>
          </m:sub>
        </m:sSub>
      </m:oMath>
      <w:r w:rsidRPr="002958DD">
        <w:tab/>
      </w:r>
      <w:r w:rsidRPr="002958DD">
        <w:tab/>
        <w:t xml:space="preserve">        </w:t>
      </w:r>
      <w:r w:rsidR="00B446B7">
        <w:tab/>
        <w:t xml:space="preserve">          </w:t>
      </w:r>
      <w:r w:rsidRPr="002958DD">
        <w:t xml:space="preserve"> (9)</w:t>
      </w:r>
    </w:p>
    <w:p w:rsidR="00B31971" w:rsidRPr="002958DD" w:rsidRDefault="00B31971" w:rsidP="00AB2764"/>
    <w:p w:rsidR="00B31971" w:rsidRPr="002958DD" w:rsidRDefault="00874212" w:rsidP="00AB2764">
      <w:r w:rsidRPr="00874212">
        <w:t xml:space="preserve">Med denne ligning er konstanten </w:t>
      </w:r>
      <w:r w:rsidR="000A1CD3">
        <w:t>i</w:t>
      </w:r>
      <w:r w:rsidRPr="00874212">
        <w:t xml:space="preserve"> periode et </w:t>
      </w:r>
      <m:oMath>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r>
              <m:rPr>
                <m:sty m:val="p"/>
              </m:rPr>
              <w:rPr>
                <w:rFonts w:ascii="Cambria Math" w:hAnsi="Cambria Math"/>
              </w:rPr>
              <m:t xml:space="preserve">∙0 </m:t>
            </m:r>
          </m:e>
        </m:d>
      </m:oMath>
      <w:r w:rsidRPr="002958DD">
        <w:t xml:space="preserve"> og konstanten i periode to er </w:t>
      </w:r>
      <m:oMath>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r>
              <m:rPr>
                <m:sty m:val="p"/>
              </m:rPr>
              <w:rPr>
                <w:rFonts w:ascii="Cambria Math" w:hAnsi="Cambria Math"/>
              </w:rPr>
              <m:t xml:space="preserve">∙1 </m:t>
            </m:r>
          </m:e>
        </m:d>
      </m:oMath>
      <w:r w:rsidRPr="002958DD">
        <w:t xml:space="preserve">. De øvrige koefficienter antages at være ens i de to perioder. Da konstanten estimeres frit i de to kvartaler, er gennemsnittet af </w:t>
      </w:r>
      <m:oMath>
        <m:sSub>
          <m:sSubPr>
            <m:ctrlPr>
              <w:rPr>
                <w:rFonts w:ascii="Cambria Math" w:hAnsi="Cambria Math"/>
              </w:rPr>
            </m:ctrlPr>
          </m:sSubPr>
          <m:e>
            <m:r>
              <w:rPr>
                <w:rFonts w:ascii="Cambria Math" w:hAnsi="Cambria Math"/>
              </w:rPr>
              <m:t>u</m:t>
            </m:r>
          </m:e>
          <m:sub>
            <m:r>
              <w:rPr>
                <w:rFonts w:ascii="Cambria Math" w:hAnsi="Cambria Math"/>
              </w:rPr>
              <m:t>i</m:t>
            </m:r>
          </m:sub>
        </m:sSub>
      </m:oMath>
      <w:r w:rsidRPr="002958DD">
        <w:t xml:space="preserve"> nul i begge kvartaler. Det betyder, at </w:t>
      </w:r>
      <w:r w:rsidR="00220445" w:rsidRPr="002958DD">
        <w:t>gennemsnitsprisen</w:t>
      </w:r>
      <w:r w:rsidRPr="002958DD">
        <w:t xml:space="preserve"> i begge perioder kan dekomponeres nøjagtigt:</w:t>
      </w:r>
    </w:p>
    <w:p w:rsidR="00874212" w:rsidRDefault="00874212" w:rsidP="00AB2764"/>
    <w:p w:rsidR="00874212" w:rsidRPr="002958DD" w:rsidRDefault="00874212" w:rsidP="00AB2764">
      <m:oMathPara>
        <m:oMathParaPr>
          <m:jc m:val="left"/>
        </m:oMathParaPr>
        <m:oMath>
          <m:r>
            <w:rPr>
              <w:rFonts w:ascii="Cambria Math" w:hAnsi="Cambria Math"/>
            </w:rPr>
            <m:t>exp</m:t>
          </m:r>
          <m:d>
            <m:dPr>
              <m:ctrlPr>
                <w:rPr>
                  <w:rFonts w:ascii="Cambria Math" w:hAnsi="Cambria Math"/>
                </w:rPr>
              </m:ctrlPr>
            </m:dPr>
            <m:e>
              <m:acc>
                <m:accPr>
                  <m:chr m:val="̅"/>
                  <m:ctrlPr>
                    <w:rPr>
                      <w:rFonts w:ascii="Cambria Math" w:hAnsi="Cambria Math"/>
                    </w:rPr>
                  </m:ctrlPr>
                </m:accPr>
                <m:e>
                  <m:r>
                    <w:rPr>
                      <w:rFonts w:ascii="Cambria Math" w:hAnsi="Cambria Math"/>
                    </w:rPr>
                    <m:t>ln</m:t>
                  </m:r>
                  <m:sSub>
                    <m:sSubPr>
                      <m:ctrlPr>
                        <w:rPr>
                          <w:rFonts w:ascii="Cambria Math" w:hAnsi="Cambria Math"/>
                        </w:rPr>
                      </m:ctrlPr>
                    </m:sSubPr>
                    <m:e>
                      <m:r>
                        <w:rPr>
                          <w:rFonts w:ascii="Cambria Math" w:hAnsi="Cambria Math"/>
                        </w:rPr>
                        <m:t>P</m:t>
                      </m:r>
                    </m:e>
                    <m:sub>
                      <m:r>
                        <m:rPr>
                          <m:sty m:val="p"/>
                        </m:rPr>
                        <w:rPr>
                          <w:rFonts w:ascii="Cambria Math" w:hAnsi="Cambria Math"/>
                        </w:rPr>
                        <m:t>1</m:t>
                      </m:r>
                    </m:sub>
                  </m:sSub>
                </m:e>
              </m:acc>
            </m:e>
          </m:d>
          <m:r>
            <m:rPr>
              <m:sty m:val="p"/>
            </m:rPr>
            <w:rPr>
              <w:rFonts w:ascii="Cambria Math" w:hAnsi="Cambria Math"/>
            </w:rPr>
            <m:t xml:space="preserve">= </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21</m:t>
                  </m:r>
                </m:sub>
              </m:sSub>
            </m:e>
          </m:d>
        </m:oMath>
      </m:oMathPara>
    </w:p>
    <w:p w:rsidR="00220445" w:rsidRPr="002958DD" w:rsidRDefault="00220445" w:rsidP="00AB2764"/>
    <w:p w:rsidR="00220445" w:rsidRPr="002958DD" w:rsidRDefault="00220445" w:rsidP="00AB2764">
      <m:oMath>
        <m:r>
          <w:rPr>
            <w:rFonts w:ascii="Cambria Math" w:hAnsi="Cambria Math"/>
          </w:rPr>
          <m:t>exp</m:t>
        </m:r>
        <m:d>
          <m:dPr>
            <m:ctrlPr>
              <w:rPr>
                <w:rFonts w:ascii="Cambria Math" w:hAnsi="Cambria Math"/>
              </w:rPr>
            </m:ctrlPr>
          </m:dPr>
          <m:e>
            <m:acc>
              <m:accPr>
                <m:chr m:val="̅"/>
                <m:ctrlPr>
                  <w:rPr>
                    <w:rFonts w:ascii="Cambria Math" w:hAnsi="Cambria Math"/>
                  </w:rPr>
                </m:ctrlPr>
              </m:accPr>
              <m:e>
                <m:r>
                  <w:rPr>
                    <w:rFonts w:ascii="Cambria Math" w:hAnsi="Cambria Math"/>
                  </w:rPr>
                  <m:t>ln</m:t>
                </m:r>
                <m:sSub>
                  <m:sSubPr>
                    <m:ctrlPr>
                      <w:rPr>
                        <w:rFonts w:ascii="Cambria Math" w:hAnsi="Cambria Math"/>
                      </w:rPr>
                    </m:ctrlPr>
                  </m:sSubPr>
                  <m:e>
                    <m:r>
                      <w:rPr>
                        <w:rFonts w:ascii="Cambria Math" w:hAnsi="Cambria Math"/>
                      </w:rPr>
                      <m:t>P</m:t>
                    </m:r>
                  </m:e>
                  <m:sub>
                    <m:r>
                      <m:rPr>
                        <m:sty m:val="p"/>
                      </m:rPr>
                      <w:rPr>
                        <w:rFonts w:ascii="Cambria Math" w:hAnsi="Cambria Math"/>
                      </w:rPr>
                      <m:t>2</m:t>
                    </m:r>
                  </m:sub>
                </m:sSub>
              </m:e>
            </m:acc>
          </m:e>
        </m:d>
        <m:r>
          <m:rPr>
            <m:sty m:val="p"/>
          </m:rPr>
          <w:rPr>
            <w:rFonts w:ascii="Cambria Math" w:hAnsi="Cambria Math"/>
          </w:rPr>
          <m:t xml:space="preserve">= </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12</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22</m:t>
                </m:r>
              </m:sub>
            </m:sSub>
          </m:e>
        </m:d>
      </m:oMath>
      <w:r w:rsidRPr="002958DD">
        <w:t xml:space="preserve">          </w:t>
      </w:r>
      <w:r w:rsidRPr="002958DD">
        <w:tab/>
        <w:t xml:space="preserve">     </w:t>
      </w:r>
      <w:r w:rsidR="00B446B7">
        <w:tab/>
        <w:t xml:space="preserve">       </w:t>
      </w:r>
      <w:r w:rsidRPr="002958DD">
        <w:t xml:space="preserve">  (10)</w:t>
      </w:r>
    </w:p>
    <w:p w:rsidR="00220445" w:rsidRPr="002958DD" w:rsidRDefault="00220445" w:rsidP="00AB2764"/>
    <w:p w:rsidR="00220445" w:rsidRPr="002958DD" w:rsidRDefault="00220445" w:rsidP="00AB2764">
      <w:r w:rsidRPr="002958DD">
        <w:t xml:space="preserve">Det viser sig, at X’erne kan elimineres fra de </w:t>
      </w:r>
      <w:proofErr w:type="spellStart"/>
      <w:r w:rsidRPr="002958DD">
        <w:t>hedoniske</w:t>
      </w:r>
      <w:proofErr w:type="spellEnd"/>
      <w:r w:rsidRPr="002958DD">
        <w:t xml:space="preserve"> </w:t>
      </w:r>
      <w:r w:rsidR="000A1CD3">
        <w:t>p</w:t>
      </w:r>
      <w:r w:rsidRPr="002958DD">
        <w:t xml:space="preserve">risindeks, her illustreret ved det </w:t>
      </w:r>
      <w:proofErr w:type="spellStart"/>
      <w:r w:rsidRPr="002958DD">
        <w:t>hedoniske</w:t>
      </w:r>
      <w:proofErr w:type="spellEnd"/>
      <w:r w:rsidRPr="002958DD">
        <w:t xml:space="preserve"> </w:t>
      </w:r>
      <w:proofErr w:type="spellStart"/>
      <w:r w:rsidRPr="002958DD">
        <w:t>Laspeyres</w:t>
      </w:r>
      <w:proofErr w:type="spellEnd"/>
      <w:r w:rsidRPr="002958DD">
        <w:t xml:space="preserve"> Prisindeks:</w:t>
      </w:r>
    </w:p>
    <w:p w:rsidR="00220445" w:rsidRPr="002958DD" w:rsidRDefault="00220445" w:rsidP="00AB2764"/>
    <w:p w:rsidR="005001D9" w:rsidRPr="002958DD" w:rsidRDefault="00371F4A" w:rsidP="00AB2764">
      <m:oMathPara>
        <m:oMathParaPr>
          <m:jc m:val="left"/>
        </m:oMathParaPr>
        <m:oMath>
          <m:sSubSup>
            <m:sSubSupPr>
              <m:ctrlPr>
                <w:rPr>
                  <w:rFonts w:ascii="Cambria Math" w:hAnsi="Cambria Math"/>
                </w:rPr>
              </m:ctrlPr>
            </m:sSubSupPr>
            <m:e>
              <m:r>
                <w:rPr>
                  <w:rFonts w:ascii="Cambria Math" w:hAnsi="Cambria Math"/>
                </w:rPr>
                <m:t>P</m:t>
              </m:r>
            </m:e>
            <m:sub>
              <m:r>
                <m:rPr>
                  <m:sty m:val="p"/>
                </m:rPr>
                <w:rPr>
                  <w:rFonts w:ascii="Cambria Math" w:hAnsi="Cambria Math"/>
                </w:rPr>
                <m:t>1:2</m:t>
              </m:r>
            </m:sub>
            <m:sup>
              <m:r>
                <w:rPr>
                  <w:rFonts w:ascii="Cambria Math" w:hAnsi="Cambria Math"/>
                </w:rPr>
                <m:t>LA</m:t>
              </m:r>
            </m:sup>
          </m:sSubSup>
          <m:r>
            <m:rPr>
              <m:sty m:val="p"/>
            </m:rPr>
            <w:rPr>
              <w:rFonts w:ascii="Cambria Math" w:hAnsi="Cambria Math"/>
            </w:rPr>
            <m:t>=</m:t>
          </m:r>
          <m:f>
            <m:fPr>
              <m:ctrlPr>
                <w:rPr>
                  <w:rFonts w:ascii="Cambria Math" w:hAnsi="Cambria Math"/>
                </w:rPr>
              </m:ctrlPr>
            </m:fPr>
            <m:num>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21</m:t>
                      </m:r>
                    </m:sub>
                  </m:sSub>
                </m:e>
              </m:d>
            </m:num>
            <m:den>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11</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21</m:t>
                      </m:r>
                    </m:sub>
                  </m:sSub>
                </m:e>
              </m:d>
            </m:den>
          </m:f>
        </m:oMath>
      </m:oMathPara>
    </w:p>
    <w:p w:rsidR="005001D9" w:rsidRPr="002958DD" w:rsidRDefault="005001D9" w:rsidP="00AB2764"/>
    <w:p w:rsidR="005001D9" w:rsidRPr="002958DD" w:rsidRDefault="005001D9" w:rsidP="00AB2764">
      <m:oMathPara>
        <m:oMathParaPr>
          <m:jc m:val="left"/>
        </m:oMathParaPr>
        <m:oMath>
          <m:r>
            <m:rPr>
              <m:sty m:val="p"/>
            </m:rPr>
            <w:rPr>
              <w:rFonts w:ascii="Cambria Math" w:hAnsi="Cambria Math"/>
            </w:rPr>
            <m:t>=</m:t>
          </m:r>
          <m:f>
            <m:fPr>
              <m:ctrlPr>
                <w:rPr>
                  <w:rFonts w:ascii="Cambria Math" w:hAnsi="Cambria Math"/>
                </w:rPr>
              </m:ctrlPr>
            </m:fPr>
            <m:num>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e>
              </m:d>
              <m:r>
                <m:rPr>
                  <m:sty m:val="p"/>
                </m:rPr>
                <w:rPr>
                  <w:rFonts w:ascii="Cambria Math" w:hAnsi="Cambria Math"/>
                </w:rPr>
                <m:t>∙</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e>
              </m:d>
              <m:r>
                <m:rPr>
                  <m:sty m:val="p"/>
                </m:rPr>
                <w:rPr>
                  <w:rFonts w:ascii="Cambria Math" w:hAnsi="Cambria Math"/>
                </w:rPr>
                <m:t>∙</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11</m:t>
                      </m:r>
                    </m:sub>
                  </m:sSub>
                </m:e>
              </m:d>
              <m:r>
                <m:rPr>
                  <m:sty m:val="p"/>
                </m:rPr>
                <w:rPr>
                  <w:rFonts w:ascii="Cambria Math" w:hAnsi="Cambria Math"/>
                </w:rPr>
                <m:t>∙</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21</m:t>
                      </m:r>
                    </m:sub>
                  </m:sSub>
                </m:e>
              </m:d>
            </m:num>
            <m:den>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0</m:t>
                      </m:r>
                    </m:sub>
                  </m:sSub>
                </m:e>
              </m:d>
              <m:r>
                <m:rPr>
                  <m:sty m:val="p"/>
                </m:rPr>
                <w:rPr>
                  <w:rFonts w:ascii="Cambria Math" w:hAnsi="Cambria Math"/>
                </w:rPr>
                <m:t>∙</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11</m:t>
                      </m:r>
                    </m:sub>
                  </m:sSub>
                </m:e>
              </m:d>
              <m:r>
                <m:rPr>
                  <m:sty m:val="p"/>
                </m:rPr>
                <w:rPr>
                  <w:rFonts w:ascii="Cambria Math" w:hAnsi="Cambria Math"/>
                </w:rPr>
                <m:t>∙</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m:rPr>
                          <m:sty m:val="p"/>
                        </m:rPr>
                        <w:rPr>
                          <w:rFonts w:ascii="Cambria Math" w:hAnsi="Cambria Math"/>
                        </w:rPr>
                        <m:t>21</m:t>
                      </m:r>
                    </m:sub>
                  </m:sSub>
                </m:e>
              </m:d>
            </m:den>
          </m:f>
          <m:r>
            <m:rPr>
              <m:sty m:val="p"/>
            </m:rPr>
            <w:rPr>
              <w:rFonts w:ascii="Cambria Math" w:hAnsi="Cambria Math"/>
            </w:rPr>
            <m:t xml:space="preserve"> </m:t>
          </m:r>
        </m:oMath>
      </m:oMathPara>
    </w:p>
    <w:p w:rsidR="005001D9" w:rsidRPr="002958DD" w:rsidRDefault="005001D9" w:rsidP="00AB2764"/>
    <w:p w:rsidR="00220445" w:rsidRPr="002958DD" w:rsidRDefault="005001D9" w:rsidP="00AB2764">
      <m:oMath>
        <m:r>
          <m:rPr>
            <m:sty m:val="p"/>
          </m:rPr>
          <w:rPr>
            <w:rFonts w:ascii="Cambria Math" w:hAnsi="Cambria Math"/>
          </w:rPr>
          <m:t>=</m:t>
        </m:r>
        <m:r>
          <w:rPr>
            <w:rFonts w:ascii="Cambria Math" w:hAnsi="Cambria Math"/>
          </w:rPr>
          <m:t>exp</m:t>
        </m:r>
        <m:d>
          <m:dPr>
            <m:ctrlPr>
              <w:rPr>
                <w:rFonts w:ascii="Cambria Math" w:hAnsi="Cambria Math"/>
              </w:rPr>
            </m:ctrlPr>
          </m:dPr>
          <m:e>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e>
        </m:d>
      </m:oMath>
      <w:r w:rsidRPr="002958DD">
        <w:tab/>
      </w:r>
      <w:r w:rsidRPr="002958DD">
        <w:tab/>
        <w:t xml:space="preserve">        </w:t>
      </w:r>
      <w:r w:rsidRPr="002958DD">
        <w:tab/>
      </w:r>
      <w:r w:rsidRPr="002958DD">
        <w:tab/>
      </w:r>
      <w:r w:rsidRPr="002958DD">
        <w:tab/>
        <w:t xml:space="preserve">        (11)</w:t>
      </w:r>
    </w:p>
    <w:p w:rsidR="00220445" w:rsidRPr="00220445" w:rsidRDefault="00220445" w:rsidP="00AB2764">
      <w:r w:rsidRPr="002958DD">
        <w:t xml:space="preserve">              </w:t>
      </w:r>
    </w:p>
    <w:p w:rsidR="00735AFC" w:rsidRDefault="00BF720E" w:rsidP="00AB2764">
      <w:r>
        <w:t xml:space="preserve">Det kvalitetsjusterede </w:t>
      </w:r>
      <w:proofErr w:type="spellStart"/>
      <w:r>
        <w:t>hedoniske</w:t>
      </w:r>
      <w:proofErr w:type="spellEnd"/>
      <w:r>
        <w:t xml:space="preserve"> prisindeks er således bestemt af den eksponentielle værdi af </w:t>
      </w:r>
      <m:oMath>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oMath>
      <w:r w:rsidRPr="00E57D3C">
        <w:t>, som er den estimere koefficient for tidsdummy’en. Da karakteristika</w:t>
      </w:r>
      <w:r w:rsidR="000A1CD3">
        <w:t>-</w:t>
      </w:r>
      <w:r w:rsidRPr="00E57D3C">
        <w:t>variablene (X’</w:t>
      </w:r>
      <w:r w:rsidR="000A1CD3">
        <w:t>erne) udgår i ligning (11</w:t>
      </w:r>
      <w:r w:rsidRPr="00E57D3C">
        <w:t xml:space="preserve">), er der ingen forskel mellem et </w:t>
      </w:r>
      <w:proofErr w:type="spellStart"/>
      <w:r w:rsidRPr="00E57D3C">
        <w:t>hedonisk</w:t>
      </w:r>
      <w:proofErr w:type="spellEnd"/>
      <w:r w:rsidRPr="00E57D3C">
        <w:t xml:space="preserve"> </w:t>
      </w:r>
      <w:proofErr w:type="spellStart"/>
      <w:r w:rsidRPr="00E57D3C">
        <w:t>Laspeyres</w:t>
      </w:r>
      <w:proofErr w:type="spellEnd"/>
      <w:r w:rsidRPr="00E57D3C">
        <w:t xml:space="preserve">- </w:t>
      </w:r>
      <w:proofErr w:type="spellStart"/>
      <w:r w:rsidRPr="00E57D3C">
        <w:t>Paasche</w:t>
      </w:r>
      <w:proofErr w:type="spellEnd"/>
      <w:r w:rsidRPr="00E57D3C">
        <w:t>- eller Fisher-prisindeks ved brug af tidsdummy-metoden.</w:t>
      </w:r>
    </w:p>
    <w:p w:rsidR="00D029F3" w:rsidRDefault="00D029F3" w:rsidP="00AB2764">
      <w:r>
        <w:t xml:space="preserve">Koefficienten for </w:t>
      </w:r>
      <w:proofErr w:type="spellStart"/>
      <w:r>
        <w:t>tidsdummy’en</w:t>
      </w:r>
      <w:proofErr w:type="spellEnd"/>
      <w:r>
        <w:t xml:space="preserve"> </w:t>
      </w:r>
      <m:oMath>
        <m:sSub>
          <m:sSubPr>
            <m:ctrlPr>
              <w:rPr>
                <w:rFonts w:ascii="Cambria Math" w:hAnsi="Cambria Math"/>
              </w:rPr>
            </m:ctrlPr>
          </m:sSubPr>
          <m:e>
            <m:acc>
              <m:accPr>
                <m:ctrlPr>
                  <w:rPr>
                    <w:rFonts w:ascii="Cambria Math" w:hAnsi="Cambria Math"/>
                  </w:rPr>
                </m:ctrlPr>
              </m:accPr>
              <m:e>
                <m:r>
                  <w:rPr>
                    <w:rFonts w:ascii="Cambria Math" w:hAnsi="Cambria Math"/>
                  </w:rPr>
                  <m:t>β</m:t>
                </m:r>
              </m:e>
            </m:acc>
          </m:e>
          <m:sub>
            <m:r>
              <m:rPr>
                <m:sty m:val="p"/>
              </m:rPr>
              <w:rPr>
                <w:rFonts w:ascii="Cambria Math" w:hAnsi="Cambria Math"/>
              </w:rPr>
              <m:t>3</m:t>
            </m:r>
          </m:sub>
        </m:sSub>
      </m:oMath>
      <w:r>
        <w:t xml:space="preserve"> bruges uanset om den er signifikant eller ej. De øvrige estimerede koefficienter er dog ikke irrelevante. De kan bruges til at vurdere kvaliteten og troværdigheden af den hedoniske regression. </w:t>
      </w:r>
    </w:p>
    <w:p w:rsidR="00D029F3" w:rsidRDefault="00D029F3" w:rsidP="00AB2764"/>
    <w:p w:rsidR="00F76486" w:rsidRDefault="00F76486">
      <w:pPr>
        <w:spacing w:after="200" w:line="276" w:lineRule="auto"/>
        <w:jc w:val="left"/>
        <w:rPr>
          <w:b/>
        </w:rPr>
      </w:pPr>
      <w:r>
        <w:rPr>
          <w:b/>
        </w:rPr>
        <w:br w:type="page"/>
      </w:r>
    </w:p>
    <w:p w:rsidR="00756E13" w:rsidRPr="002958DD" w:rsidRDefault="00756E13" w:rsidP="00AB2764">
      <w:pPr>
        <w:rPr>
          <w:b/>
        </w:rPr>
      </w:pPr>
      <w:r w:rsidRPr="002958DD">
        <w:rPr>
          <w:b/>
        </w:rPr>
        <w:lastRenderedPageBreak/>
        <w:t>Multiple tidsdummy-metode:</w:t>
      </w:r>
    </w:p>
    <w:p w:rsidR="00756E13" w:rsidRPr="002958DD" w:rsidRDefault="0000424E" w:rsidP="00AB2764">
      <w:r>
        <w:t xml:space="preserve">Hidtidig har vi antaget, at regressionsmodellen er estimeret for to på hinanden følgende kvartaler. Men modellen kan også </w:t>
      </w:r>
      <w:proofErr w:type="spellStart"/>
      <w:r>
        <w:t>estiemres</w:t>
      </w:r>
      <w:proofErr w:type="spellEnd"/>
      <w:r>
        <w:t xml:space="preserve"> for fx fire på hinanden følgende kvartaler ved at bruge tre </w:t>
      </w:r>
      <w:proofErr w:type="spellStart"/>
      <w:r>
        <w:t>tidsdummy’er</w:t>
      </w:r>
      <w:proofErr w:type="spellEnd"/>
      <w:r>
        <w:t xml:space="preserve"> i stedet for en. Ved at inkludere de to kvartaler t-2 og t</w:t>
      </w:r>
      <w:r w:rsidR="000A1CD3">
        <w:t>-3 i den samlede stikprøve øges</w:t>
      </w:r>
      <w:r>
        <w:t xml:space="preserve"> antallet af observationer</w:t>
      </w:r>
      <w:r w:rsidR="000A1CD3">
        <w:t>, men det indebæ</w:t>
      </w:r>
      <w:r w:rsidR="00852F80">
        <w:t>rer også tre estimater for tidsdummy-koefficienten, hvilket indebærer, at det resulterende prisindeks vil blive revideret to gange.</w:t>
      </w:r>
      <w:r>
        <w:t xml:space="preserve"> </w:t>
      </w:r>
    </w:p>
    <w:p w:rsidR="00756E13" w:rsidRPr="002958DD" w:rsidRDefault="00756E13" w:rsidP="00AB2764"/>
    <w:p w:rsidR="00756E13" w:rsidRPr="002958DD" w:rsidRDefault="004C4851" w:rsidP="00AB2764">
      <w:pPr>
        <w:rPr>
          <w:b/>
        </w:rPr>
      </w:pPr>
      <w:r>
        <w:rPr>
          <w:b/>
        </w:rPr>
        <w:t>Rullende tids</w:t>
      </w:r>
      <w:r w:rsidR="00756E13" w:rsidRPr="002958DD">
        <w:rPr>
          <w:b/>
        </w:rPr>
        <w:t>dummy-metode:</w:t>
      </w:r>
    </w:p>
    <w:p w:rsidR="00B446B7" w:rsidRDefault="004C4851" w:rsidP="00AB2764">
      <w:r>
        <w:t>Den rullende tids</w:t>
      </w:r>
      <w:r w:rsidR="00B446B7">
        <w:t>dummy-metoden svarer ti</w:t>
      </w:r>
      <w:r w:rsidR="000A1CD3">
        <w:t>l den multiple tidsdummy-metode</w:t>
      </w:r>
      <w:r w:rsidR="00B446B7">
        <w:t>, dog med den undtagelse</w:t>
      </w:r>
      <w:r w:rsidR="000A1CD3">
        <w:t>,</w:t>
      </w:r>
      <w:r w:rsidR="00B446B7">
        <w:t xml:space="preserve"> at man ikke reviderer i tidligere perioder. Resultaterne for de forrige kvartaler kan dog </w:t>
      </w:r>
      <w:r w:rsidR="000A1CD3">
        <w:t xml:space="preserve">godt </w:t>
      </w:r>
      <w:r w:rsidR="00B446B7">
        <w:t xml:space="preserve">ændres, hvis datagrundlaget </w:t>
      </w:r>
      <w:r w:rsidR="000A1CD3">
        <w:t xml:space="preserve">for tidligere perioder </w:t>
      </w:r>
      <w:r w:rsidR="00B446B7">
        <w:t>ændres og man genb</w:t>
      </w:r>
      <w:r w:rsidR="000A1CD3">
        <w:t xml:space="preserve">eregner de </w:t>
      </w:r>
      <w:proofErr w:type="spellStart"/>
      <w:r w:rsidR="000A1CD3">
        <w:t>hedoniske</w:t>
      </w:r>
      <w:proofErr w:type="spellEnd"/>
      <w:r w:rsidR="000A1CD3">
        <w:t xml:space="preserve"> prisindeks for de tidligere perioder.</w:t>
      </w:r>
    </w:p>
    <w:p w:rsidR="00B446B7" w:rsidRDefault="00B446B7" w:rsidP="00AB2764"/>
    <w:p w:rsidR="00B446B7" w:rsidRDefault="00B446B7" w:rsidP="00AB2764">
      <w:r>
        <w:t xml:space="preserve">Det er denne metode som Danmarks Statistik bruger til </w:t>
      </w:r>
      <w:r w:rsidR="00DE0CDB">
        <w:t xml:space="preserve">at beregne </w:t>
      </w:r>
      <w:proofErr w:type="spellStart"/>
      <w:r w:rsidR="00DE0CDB">
        <w:t>hedonis</w:t>
      </w:r>
      <w:r w:rsidR="00872079">
        <w:t>ke</w:t>
      </w:r>
      <w:proofErr w:type="spellEnd"/>
      <w:r w:rsidR="00872079">
        <w:t xml:space="preserve"> prisindeks for andelsboliger og som også bruges af andre statistisk bureauer.</w:t>
      </w:r>
    </w:p>
    <w:p w:rsidR="00AB2764" w:rsidRDefault="00AB2764">
      <w:pPr>
        <w:spacing w:after="200" w:line="276" w:lineRule="auto"/>
        <w:jc w:val="left"/>
      </w:pPr>
    </w:p>
    <w:p w:rsidR="002958DD" w:rsidRDefault="002958DD" w:rsidP="00AB2764">
      <w:pPr>
        <w:spacing w:after="200"/>
        <w:jc w:val="left"/>
        <w:rPr>
          <w:b/>
        </w:rPr>
      </w:pPr>
      <w:r w:rsidRPr="002958DD">
        <w:rPr>
          <w:b/>
        </w:rPr>
        <w:t>Litteraturliste:</w:t>
      </w:r>
    </w:p>
    <w:p w:rsidR="00630AD3" w:rsidRDefault="00630AD3" w:rsidP="00AB2764">
      <w:pPr>
        <w:pStyle w:val="Listeafsnit"/>
        <w:numPr>
          <w:ilvl w:val="0"/>
          <w:numId w:val="26"/>
        </w:numPr>
        <w:rPr>
          <w:rFonts w:ascii="Times New Roman" w:hAnsi="Times New Roman"/>
          <w:sz w:val="20"/>
          <w:szCs w:val="20"/>
          <w:lang w:val="en-US"/>
        </w:rPr>
      </w:pPr>
      <w:r>
        <w:rPr>
          <w:rFonts w:ascii="Times New Roman" w:hAnsi="Times New Roman"/>
          <w:sz w:val="20"/>
          <w:szCs w:val="20"/>
          <w:lang w:val="en-US"/>
        </w:rPr>
        <w:t xml:space="preserve">Eurostat (2017), </w:t>
      </w:r>
      <w:hyperlink r:id="rId20" w:history="1">
        <w:r w:rsidRPr="00630AD3">
          <w:rPr>
            <w:rStyle w:val="Hyperlink"/>
            <w:rFonts w:ascii="Times New Roman" w:hAnsi="Times New Roman"/>
            <w:sz w:val="20"/>
            <w:szCs w:val="20"/>
            <w:lang w:val="en-US"/>
          </w:rPr>
          <w:t>Technical manual on Owner-Occupied Housing and House Price Indices</w:t>
        </w:r>
      </w:hyperlink>
    </w:p>
    <w:p w:rsidR="00082FBF" w:rsidRPr="00082FBF" w:rsidRDefault="00082FBF" w:rsidP="00AB2764">
      <w:pPr>
        <w:pStyle w:val="Listeafsnit"/>
        <w:numPr>
          <w:ilvl w:val="0"/>
          <w:numId w:val="26"/>
        </w:numPr>
        <w:rPr>
          <w:rFonts w:ascii="Times New Roman" w:hAnsi="Times New Roman"/>
          <w:sz w:val="20"/>
          <w:szCs w:val="20"/>
        </w:rPr>
      </w:pPr>
      <w:r w:rsidRPr="00082FBF">
        <w:rPr>
          <w:rFonts w:ascii="Times New Roman" w:hAnsi="Times New Roman"/>
          <w:sz w:val="20"/>
          <w:szCs w:val="20"/>
        </w:rPr>
        <w:t xml:space="preserve">N. </w:t>
      </w:r>
      <w:proofErr w:type="spellStart"/>
      <w:r w:rsidRPr="00082FBF">
        <w:rPr>
          <w:rFonts w:ascii="Times New Roman" w:hAnsi="Times New Roman"/>
          <w:sz w:val="20"/>
          <w:szCs w:val="20"/>
        </w:rPr>
        <w:t>Gujarati</w:t>
      </w:r>
      <w:proofErr w:type="spellEnd"/>
      <w:r w:rsidRPr="00082FBF">
        <w:rPr>
          <w:rFonts w:ascii="Times New Roman" w:hAnsi="Times New Roman"/>
          <w:sz w:val="20"/>
          <w:szCs w:val="20"/>
        </w:rPr>
        <w:t xml:space="preserve">, </w:t>
      </w:r>
      <w:proofErr w:type="spellStart"/>
      <w:r w:rsidRPr="00082FBF">
        <w:rPr>
          <w:rFonts w:ascii="Times New Roman" w:hAnsi="Times New Roman"/>
          <w:sz w:val="20"/>
          <w:szCs w:val="20"/>
        </w:rPr>
        <w:t>Damodar</w:t>
      </w:r>
      <w:proofErr w:type="spellEnd"/>
      <w:r w:rsidRPr="00082FBF">
        <w:rPr>
          <w:rFonts w:ascii="Times New Roman" w:hAnsi="Times New Roman"/>
          <w:sz w:val="20"/>
          <w:szCs w:val="20"/>
        </w:rPr>
        <w:t xml:space="preserve"> og Porter, Dawn C. </w:t>
      </w:r>
      <w:r>
        <w:rPr>
          <w:rFonts w:ascii="Times New Roman" w:hAnsi="Times New Roman"/>
          <w:sz w:val="20"/>
          <w:szCs w:val="20"/>
        </w:rPr>
        <w:t xml:space="preserve">(2009): Basis </w:t>
      </w:r>
      <w:proofErr w:type="spellStart"/>
      <w:r>
        <w:rPr>
          <w:rFonts w:ascii="Times New Roman" w:hAnsi="Times New Roman"/>
          <w:sz w:val="20"/>
          <w:szCs w:val="20"/>
        </w:rPr>
        <w:t>Econometrics</w:t>
      </w:r>
      <w:proofErr w:type="spellEnd"/>
    </w:p>
    <w:p w:rsidR="00630AD3" w:rsidRDefault="00630AD3" w:rsidP="00AB2764">
      <w:pPr>
        <w:pStyle w:val="Listeafsnit"/>
        <w:numPr>
          <w:ilvl w:val="0"/>
          <w:numId w:val="26"/>
        </w:numPr>
        <w:rPr>
          <w:rFonts w:ascii="Times New Roman" w:hAnsi="Times New Roman"/>
          <w:sz w:val="20"/>
          <w:szCs w:val="20"/>
        </w:rPr>
      </w:pPr>
      <w:r w:rsidRPr="00630AD3">
        <w:rPr>
          <w:rFonts w:ascii="Times New Roman" w:hAnsi="Times New Roman"/>
          <w:sz w:val="20"/>
          <w:szCs w:val="20"/>
        </w:rPr>
        <w:t xml:space="preserve">Hjort-Andersen, Christian (1986): </w:t>
      </w:r>
      <w:proofErr w:type="spellStart"/>
      <w:r w:rsidRPr="00630AD3">
        <w:rPr>
          <w:rFonts w:ascii="Times New Roman" w:hAnsi="Times New Roman"/>
          <w:sz w:val="20"/>
          <w:szCs w:val="20"/>
        </w:rPr>
        <w:t>Hedoniske</w:t>
      </w:r>
      <w:proofErr w:type="spellEnd"/>
      <w:r w:rsidRPr="00630AD3">
        <w:rPr>
          <w:rFonts w:ascii="Times New Roman" w:hAnsi="Times New Roman"/>
          <w:sz w:val="20"/>
          <w:szCs w:val="20"/>
        </w:rPr>
        <w:t xml:space="preserve"> regressioner: Hvad koster en meter bil? Nationaløkonomisk Tidsskrift, Bind 124, s. 90-105.</w:t>
      </w:r>
    </w:p>
    <w:p w:rsidR="00630AD3" w:rsidRPr="00630AD3" w:rsidRDefault="00630AD3" w:rsidP="00AB2764">
      <w:pPr>
        <w:pStyle w:val="Listeafsnit"/>
        <w:numPr>
          <w:ilvl w:val="0"/>
          <w:numId w:val="26"/>
        </w:numPr>
        <w:rPr>
          <w:rFonts w:ascii="Times New Roman" w:hAnsi="Times New Roman"/>
          <w:sz w:val="20"/>
          <w:szCs w:val="20"/>
          <w:lang w:val="en-US"/>
        </w:rPr>
      </w:pPr>
      <w:r w:rsidRPr="00630AD3">
        <w:rPr>
          <w:rFonts w:ascii="Times New Roman" w:hAnsi="Times New Roman"/>
          <w:sz w:val="20"/>
          <w:szCs w:val="20"/>
          <w:lang w:val="en-US"/>
        </w:rPr>
        <w:t>Holmgaard, Jakob (2016): Hedonic House Price Index</w:t>
      </w:r>
    </w:p>
    <w:p w:rsidR="00630AD3" w:rsidRDefault="00630AD3" w:rsidP="00AB2764">
      <w:pPr>
        <w:pStyle w:val="Listeafsnit"/>
        <w:numPr>
          <w:ilvl w:val="0"/>
          <w:numId w:val="26"/>
        </w:numPr>
        <w:rPr>
          <w:rFonts w:ascii="Times New Roman" w:hAnsi="Times New Roman"/>
          <w:sz w:val="20"/>
          <w:szCs w:val="20"/>
          <w:lang w:val="en-US"/>
        </w:rPr>
      </w:pPr>
      <w:r w:rsidRPr="00630AD3">
        <w:rPr>
          <w:rFonts w:ascii="Times New Roman" w:hAnsi="Times New Roman"/>
          <w:sz w:val="20"/>
          <w:szCs w:val="20"/>
          <w:lang w:val="en-US"/>
        </w:rPr>
        <w:t>Triplett, Jack (2006): Handbook on Hedonic Indexes and Quality Adjustments in Price Indexes</w:t>
      </w:r>
    </w:p>
    <w:p w:rsidR="00424602" w:rsidRPr="00630AD3" w:rsidRDefault="00424602" w:rsidP="00AB2764">
      <w:pPr>
        <w:spacing w:after="200"/>
        <w:jc w:val="left"/>
        <w:rPr>
          <w:lang w:val="en-US"/>
        </w:rPr>
      </w:pPr>
    </w:p>
    <w:p w:rsidR="00424602" w:rsidRPr="00630AD3" w:rsidRDefault="00424602" w:rsidP="001E11B9">
      <w:pPr>
        <w:spacing w:line="276" w:lineRule="auto"/>
        <w:jc w:val="left"/>
        <w:rPr>
          <w:lang w:val="en-US"/>
        </w:rPr>
      </w:pPr>
    </w:p>
    <w:sectPr w:rsidR="00424602" w:rsidRPr="00630AD3" w:rsidSect="00CF4972">
      <w:headerReference w:type="default" r:id="rId21"/>
      <w:footerReference w:type="default" r:id="rId22"/>
      <w:type w:val="continuous"/>
      <w:pgSz w:w="11906" w:h="16838" w:code="9"/>
      <w:pgMar w:top="1021" w:right="794" w:bottom="1247" w:left="3742"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4A" w:rsidRDefault="00371F4A" w:rsidP="00E816D9">
      <w:r>
        <w:separator/>
      </w:r>
    </w:p>
  </w:endnote>
  <w:endnote w:type="continuationSeparator" w:id="0">
    <w:p w:rsidR="00371F4A" w:rsidRDefault="00371F4A"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4A" w:rsidRDefault="00371F4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Content>
      <w:p w:rsidR="00371F4A" w:rsidRDefault="00371F4A">
        <w:pPr>
          <w:pStyle w:val="Sidefod"/>
          <w:jc w:val="right"/>
        </w:pPr>
        <w:r>
          <w:fldChar w:fldCharType="begin"/>
        </w:r>
        <w:r>
          <w:instrText>PAGE   \* MERGEFORMAT</w:instrText>
        </w:r>
        <w:r>
          <w:fldChar w:fldCharType="separate"/>
        </w:r>
        <w:r w:rsidR="00E476DB">
          <w:rPr>
            <w:noProof/>
          </w:rPr>
          <w:t>1</w:t>
        </w:r>
        <w:r>
          <w:fldChar w:fldCharType="end"/>
        </w:r>
        <w:r>
          <w:t>/</w:t>
        </w:r>
        <w:r>
          <w:fldChar w:fldCharType="begin"/>
        </w:r>
        <w:r>
          <w:instrText xml:space="preserve"> NUMPAGES  \# "0"  \* MERGEFORMAT </w:instrText>
        </w:r>
        <w:r>
          <w:fldChar w:fldCharType="separate"/>
        </w:r>
        <w:r w:rsidR="00E476DB">
          <w:rPr>
            <w:noProof/>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Content>
      <w:p w:rsidR="00371F4A" w:rsidRDefault="00371F4A" w:rsidP="00163BA8">
        <w:pPr>
          <w:pStyle w:val="Sidefod"/>
          <w:jc w:val="right"/>
        </w:pPr>
        <w:r>
          <w:fldChar w:fldCharType="begin"/>
        </w:r>
        <w:r>
          <w:instrText>PAGE   \* MERGEFORMAT</w:instrText>
        </w:r>
        <w:r>
          <w:fldChar w:fldCharType="separate"/>
        </w:r>
        <w:r>
          <w:rPr>
            <w:noProof/>
          </w:rPr>
          <w:t>1</w:t>
        </w:r>
        <w:r>
          <w:fldChar w:fldCharType="end"/>
        </w:r>
        <w:r>
          <w:t>/</w:t>
        </w:r>
        <w:fldSimple w:instr=" NUMPAGES   \* MERGEFORMAT ">
          <w:r>
            <w:rPr>
              <w:noProof/>
            </w:rPr>
            <w:t>10</w:t>
          </w:r>
        </w:fldSimple>
      </w:p>
    </w:sdtContent>
  </w:sdt>
  <w:p w:rsidR="00371F4A" w:rsidRDefault="00371F4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4A" w:rsidRDefault="00371F4A" w:rsidP="00EC48A1">
    <w:pPr>
      <w:pStyle w:val="Sidefod"/>
      <w:ind w:firstLine="1304"/>
      <w:jc w:val="right"/>
    </w:pPr>
    <w:sdt>
      <w:sdtPr>
        <w:id w:val="-587381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476DB">
          <w:rPr>
            <w:noProof/>
          </w:rPr>
          <w:t>2</w:t>
        </w:r>
        <w:r>
          <w:rPr>
            <w:noProof/>
          </w:rPr>
          <w:fldChar w:fldCharType="end"/>
        </w:r>
        <w:r>
          <w:rPr>
            <w:noProof/>
          </w:rPr>
          <w:t>/</w:t>
        </w:r>
      </w:sdtContent>
    </w:sdt>
    <w:r>
      <w:fldChar w:fldCharType="begin"/>
    </w:r>
    <w:r>
      <w:instrText xml:space="preserve"> NUMPAGES   \* MERGEFORMAT </w:instrText>
    </w:r>
    <w:r>
      <w:fldChar w:fldCharType="separate"/>
    </w:r>
    <w:r w:rsidR="00E476DB">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4A" w:rsidRDefault="00371F4A" w:rsidP="00E816D9">
      <w:r>
        <w:separator/>
      </w:r>
    </w:p>
  </w:footnote>
  <w:footnote w:type="continuationSeparator" w:id="0">
    <w:p w:rsidR="00371F4A" w:rsidRDefault="00371F4A" w:rsidP="00E816D9">
      <w:r>
        <w:continuationSeparator/>
      </w:r>
    </w:p>
  </w:footnote>
  <w:footnote w:id="1">
    <w:p w:rsidR="00371F4A" w:rsidRDefault="00371F4A">
      <w:pPr>
        <w:pStyle w:val="Fodnotetekst"/>
      </w:pPr>
      <w:r>
        <w:rPr>
          <w:rStyle w:val="Fodnotehenvisning"/>
        </w:rPr>
        <w:footnoteRef/>
      </w:r>
      <w:r>
        <w:t xml:space="preserve"> Stikprøve fra 2015 til og med 2021K2.</w:t>
      </w:r>
    </w:p>
  </w:footnote>
  <w:footnote w:id="2">
    <w:p w:rsidR="00371F4A" w:rsidRDefault="00371F4A" w:rsidP="008F580B">
      <w:pPr>
        <w:pStyle w:val="Fodnotetekst"/>
      </w:pPr>
      <w:r>
        <w:rPr>
          <w:rStyle w:val="Fodnotehenvisning"/>
        </w:rPr>
        <w:footnoteRef/>
      </w:r>
      <w:r>
        <w:t xml:space="preserve"> Modelselektionen foregår med SBC-metoden og der vælges i praksis kun et udsnit af variablene i bruttolisten for hver regression. Man vil altid kunne finde ting der i teorien potentielt kan påvirke prisen på en andelsbolig, men i praksis er man nødt til at bruge observérbare parametre, som i dette tilfælde ”Nøgleoplysningsskemaet for andelsboliger til salg” samt BBR-registret. Der skal også tages højde for respondentbyrden, som man påligger andelsboligforeningerne.</w:t>
      </w:r>
    </w:p>
  </w:footnote>
  <w:footnote w:id="3">
    <w:p w:rsidR="00371F4A" w:rsidRDefault="00371F4A">
      <w:pPr>
        <w:pStyle w:val="Fodnotetekst"/>
      </w:pPr>
      <w:r>
        <w:rPr>
          <w:rStyle w:val="Fodnotehenvisning"/>
        </w:rPr>
        <w:footnoteRef/>
      </w:r>
      <w:r>
        <w:t xml:space="preserve"> </w:t>
      </w:r>
      <w:r w:rsidRPr="002C139C">
        <w:rPr>
          <w:rFonts w:ascii="Times New Roman" w:hAnsi="Times New Roman"/>
          <w:sz w:val="16"/>
          <w:szCs w:val="16"/>
        </w:rPr>
        <w:t xml:space="preserve">Metoderne findes </w:t>
      </w:r>
      <w:r>
        <w:rPr>
          <w:rFonts w:ascii="Times New Roman" w:hAnsi="Times New Roman"/>
          <w:sz w:val="16"/>
          <w:szCs w:val="16"/>
        </w:rPr>
        <w:t xml:space="preserve">rundt om </w:t>
      </w:r>
      <w:r w:rsidRPr="002C139C">
        <w:rPr>
          <w:rFonts w:ascii="Times New Roman" w:hAnsi="Times New Roman"/>
          <w:sz w:val="16"/>
          <w:szCs w:val="16"/>
        </w:rPr>
        <w:t>i litteraturen med forskellige navn</w:t>
      </w:r>
      <w:r>
        <w:rPr>
          <w:rFonts w:ascii="Times New Roman" w:hAnsi="Times New Roman"/>
          <w:sz w:val="16"/>
          <w:szCs w:val="16"/>
        </w:rPr>
        <w:t>e</w:t>
      </w:r>
      <w:r w:rsidRPr="002C139C">
        <w:rPr>
          <w:rFonts w:ascii="Times New Roman" w:hAnsi="Times New Roman"/>
          <w:sz w:val="16"/>
          <w:szCs w:val="16"/>
        </w:rPr>
        <w:t xml:space="preserve">. Karakteristika-metoden kaldes </w:t>
      </w:r>
      <w:r>
        <w:rPr>
          <w:rFonts w:ascii="Times New Roman" w:hAnsi="Times New Roman"/>
          <w:sz w:val="16"/>
          <w:szCs w:val="16"/>
        </w:rPr>
        <w:t xml:space="preserve">fx </w:t>
      </w:r>
      <w:r w:rsidRPr="002C139C">
        <w:rPr>
          <w:rFonts w:ascii="Times New Roman" w:hAnsi="Times New Roman"/>
          <w:sz w:val="16"/>
          <w:szCs w:val="16"/>
        </w:rPr>
        <w:t>i Hjort-</w:t>
      </w:r>
      <w:proofErr w:type="gramStart"/>
      <w:r w:rsidRPr="002C139C">
        <w:rPr>
          <w:rFonts w:ascii="Times New Roman" w:hAnsi="Times New Roman"/>
          <w:sz w:val="16"/>
          <w:szCs w:val="16"/>
        </w:rPr>
        <w:t>Andersen(</w:t>
      </w:r>
      <w:proofErr w:type="gramEnd"/>
      <w:r w:rsidRPr="002C139C">
        <w:rPr>
          <w:rFonts w:ascii="Times New Roman" w:hAnsi="Times New Roman"/>
          <w:sz w:val="16"/>
          <w:szCs w:val="16"/>
        </w:rPr>
        <w:t xml:space="preserve">1986) for </w:t>
      </w:r>
      <w:r w:rsidRPr="0012733D">
        <w:rPr>
          <w:rFonts w:ascii="Times New Roman" w:hAnsi="Times New Roman"/>
          <w:i/>
          <w:sz w:val="16"/>
          <w:szCs w:val="16"/>
        </w:rPr>
        <w:t>skyggeprismetoden</w:t>
      </w:r>
      <w:r w:rsidRPr="002C139C">
        <w:rPr>
          <w:rFonts w:ascii="Times New Roman" w:hAnsi="Times New Roman"/>
          <w:sz w:val="16"/>
          <w:szCs w:val="16"/>
        </w:rPr>
        <w:t xml:space="preserve">. </w:t>
      </w:r>
      <w:r w:rsidRPr="006C366F">
        <w:rPr>
          <w:rFonts w:ascii="Times New Roman" w:hAnsi="Times New Roman"/>
          <w:sz w:val="16"/>
          <w:szCs w:val="16"/>
        </w:rPr>
        <w:t>Re-</w:t>
      </w:r>
      <w:proofErr w:type="spellStart"/>
      <w:r w:rsidRPr="006C366F">
        <w:rPr>
          <w:rFonts w:ascii="Times New Roman" w:hAnsi="Times New Roman"/>
          <w:sz w:val="16"/>
          <w:szCs w:val="16"/>
        </w:rPr>
        <w:t>pricing</w:t>
      </w:r>
      <w:proofErr w:type="spellEnd"/>
      <w:r w:rsidRPr="006C366F">
        <w:rPr>
          <w:rFonts w:ascii="Times New Roman" w:hAnsi="Times New Roman"/>
          <w:sz w:val="16"/>
          <w:szCs w:val="16"/>
        </w:rPr>
        <w:t xml:space="preserve"> metoden kaldes </w:t>
      </w:r>
      <w:r>
        <w:rPr>
          <w:rFonts w:ascii="Times New Roman" w:hAnsi="Times New Roman"/>
          <w:sz w:val="16"/>
          <w:szCs w:val="16"/>
        </w:rPr>
        <w:t>i</w:t>
      </w:r>
      <w:r w:rsidRPr="006C366F">
        <w:rPr>
          <w:rFonts w:ascii="Times New Roman" w:hAnsi="Times New Roman"/>
          <w:sz w:val="16"/>
          <w:szCs w:val="16"/>
        </w:rPr>
        <w:t xml:space="preserve"> </w:t>
      </w:r>
      <w:proofErr w:type="spellStart"/>
      <w:proofErr w:type="gramStart"/>
      <w:r w:rsidRPr="006C366F">
        <w:rPr>
          <w:rFonts w:ascii="Times New Roman" w:hAnsi="Times New Roman"/>
          <w:sz w:val="16"/>
          <w:szCs w:val="16"/>
        </w:rPr>
        <w:t>Triplett</w:t>
      </w:r>
      <w:proofErr w:type="spellEnd"/>
      <w:r w:rsidRPr="006C366F">
        <w:rPr>
          <w:rFonts w:ascii="Times New Roman" w:hAnsi="Times New Roman"/>
          <w:sz w:val="16"/>
          <w:szCs w:val="16"/>
        </w:rPr>
        <w:t>(</w:t>
      </w:r>
      <w:proofErr w:type="gramEnd"/>
      <w:r w:rsidRPr="006C366F">
        <w:rPr>
          <w:rFonts w:ascii="Times New Roman" w:hAnsi="Times New Roman"/>
          <w:sz w:val="16"/>
          <w:szCs w:val="16"/>
        </w:rPr>
        <w:t xml:space="preserve">2006) for </w:t>
      </w:r>
      <w:proofErr w:type="spellStart"/>
      <w:r w:rsidRPr="006C366F">
        <w:rPr>
          <w:rFonts w:ascii="Times New Roman" w:hAnsi="Times New Roman"/>
          <w:i/>
          <w:sz w:val="16"/>
          <w:szCs w:val="16"/>
        </w:rPr>
        <w:t>quality</w:t>
      </w:r>
      <w:proofErr w:type="spellEnd"/>
      <w:r w:rsidRPr="006C366F">
        <w:rPr>
          <w:rFonts w:ascii="Times New Roman" w:hAnsi="Times New Roman"/>
          <w:i/>
          <w:sz w:val="16"/>
          <w:szCs w:val="16"/>
        </w:rPr>
        <w:t xml:space="preserve"> </w:t>
      </w:r>
      <w:proofErr w:type="spellStart"/>
      <w:r w:rsidRPr="006C366F">
        <w:rPr>
          <w:rFonts w:ascii="Times New Roman" w:hAnsi="Times New Roman"/>
          <w:i/>
          <w:sz w:val="16"/>
          <w:szCs w:val="16"/>
        </w:rPr>
        <w:t>adjustment</w:t>
      </w:r>
      <w:proofErr w:type="spellEnd"/>
      <w:r w:rsidRPr="006C366F">
        <w:rPr>
          <w:rFonts w:ascii="Times New Roman" w:hAnsi="Times New Roman"/>
          <w:i/>
          <w:sz w:val="16"/>
          <w:szCs w:val="16"/>
        </w:rPr>
        <w:t xml:space="preserve"> </w:t>
      </w:r>
      <w:proofErr w:type="spellStart"/>
      <w:r w:rsidRPr="006C366F">
        <w:rPr>
          <w:rFonts w:ascii="Times New Roman" w:hAnsi="Times New Roman"/>
          <w:i/>
          <w:sz w:val="16"/>
          <w:szCs w:val="16"/>
        </w:rPr>
        <w:t>method</w:t>
      </w:r>
      <w:proofErr w:type="spellEnd"/>
      <w:r w:rsidRPr="006C366F">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4A" w:rsidRDefault="00371F4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4A" w:rsidRDefault="00371F4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4A" w:rsidRDefault="00371F4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4A" w:rsidRDefault="00371F4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15:restartNumberingAfterBreak="0">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abstractNum w:abstractNumId="4" w15:restartNumberingAfterBreak="0">
    <w:nsid w:val="1715325C"/>
    <w:multiLevelType w:val="hybridMultilevel"/>
    <w:tmpl w:val="A804432C"/>
    <w:lvl w:ilvl="0" w:tplc="E0D032C2">
      <w:start w:val="3"/>
      <w:numFmt w:val="bullet"/>
      <w:lvlText w:val="-"/>
      <w:lvlJc w:val="left"/>
      <w:pPr>
        <w:ind w:left="360" w:hanging="360"/>
      </w:pPr>
      <w:rPr>
        <w:rFonts w:ascii="Georgia" w:eastAsia="Times New Roman" w:hAnsi="Georgi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B536494"/>
    <w:multiLevelType w:val="hybridMultilevel"/>
    <w:tmpl w:val="F69EBF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7870DF"/>
    <w:multiLevelType w:val="hybridMultilevel"/>
    <w:tmpl w:val="8E3034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6E26B99"/>
    <w:multiLevelType w:val="hybridMultilevel"/>
    <w:tmpl w:val="DA020AC0"/>
    <w:lvl w:ilvl="0" w:tplc="6BCE254A">
      <w:start w:val="1"/>
      <w:numFmt w:val="decimal"/>
      <w:lvlText w:val="%1."/>
      <w:lvlJc w:val="left"/>
      <w:pPr>
        <w:ind w:left="540" w:hanging="360"/>
      </w:pPr>
      <w:rPr>
        <w:rFonts w:ascii="Arial" w:hAnsi="Arial" w:cs="Arial" w:hint="default"/>
        <w:color w:val="000000"/>
      </w:rPr>
    </w:lvl>
    <w:lvl w:ilvl="1" w:tplc="04060019" w:tentative="1">
      <w:start w:val="1"/>
      <w:numFmt w:val="lowerLetter"/>
      <w:lvlText w:val="%2."/>
      <w:lvlJc w:val="left"/>
      <w:pPr>
        <w:ind w:left="1260" w:hanging="360"/>
      </w:pPr>
    </w:lvl>
    <w:lvl w:ilvl="2" w:tplc="0406001B" w:tentative="1">
      <w:start w:val="1"/>
      <w:numFmt w:val="lowerRoman"/>
      <w:lvlText w:val="%3."/>
      <w:lvlJc w:val="right"/>
      <w:pPr>
        <w:ind w:left="1980" w:hanging="180"/>
      </w:pPr>
    </w:lvl>
    <w:lvl w:ilvl="3" w:tplc="0406000F" w:tentative="1">
      <w:start w:val="1"/>
      <w:numFmt w:val="decimal"/>
      <w:lvlText w:val="%4."/>
      <w:lvlJc w:val="left"/>
      <w:pPr>
        <w:ind w:left="2700" w:hanging="360"/>
      </w:pPr>
    </w:lvl>
    <w:lvl w:ilvl="4" w:tplc="04060019" w:tentative="1">
      <w:start w:val="1"/>
      <w:numFmt w:val="lowerLetter"/>
      <w:lvlText w:val="%5."/>
      <w:lvlJc w:val="left"/>
      <w:pPr>
        <w:ind w:left="3420" w:hanging="360"/>
      </w:pPr>
    </w:lvl>
    <w:lvl w:ilvl="5" w:tplc="0406001B" w:tentative="1">
      <w:start w:val="1"/>
      <w:numFmt w:val="lowerRoman"/>
      <w:lvlText w:val="%6."/>
      <w:lvlJc w:val="right"/>
      <w:pPr>
        <w:ind w:left="4140" w:hanging="180"/>
      </w:pPr>
    </w:lvl>
    <w:lvl w:ilvl="6" w:tplc="0406000F" w:tentative="1">
      <w:start w:val="1"/>
      <w:numFmt w:val="decimal"/>
      <w:lvlText w:val="%7."/>
      <w:lvlJc w:val="left"/>
      <w:pPr>
        <w:ind w:left="4860" w:hanging="360"/>
      </w:pPr>
    </w:lvl>
    <w:lvl w:ilvl="7" w:tplc="04060019" w:tentative="1">
      <w:start w:val="1"/>
      <w:numFmt w:val="lowerLetter"/>
      <w:lvlText w:val="%8."/>
      <w:lvlJc w:val="left"/>
      <w:pPr>
        <w:ind w:left="5580" w:hanging="360"/>
      </w:pPr>
    </w:lvl>
    <w:lvl w:ilvl="8" w:tplc="0406001B" w:tentative="1">
      <w:start w:val="1"/>
      <w:numFmt w:val="lowerRoman"/>
      <w:lvlText w:val="%9."/>
      <w:lvlJc w:val="right"/>
      <w:pPr>
        <w:ind w:left="6300" w:hanging="180"/>
      </w:pPr>
    </w:lvl>
  </w:abstractNum>
  <w:abstractNum w:abstractNumId="8" w15:restartNumberingAfterBreak="0">
    <w:nsid w:val="325D4522"/>
    <w:multiLevelType w:val="hybridMultilevel"/>
    <w:tmpl w:val="EE0CF55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BF31B5"/>
    <w:multiLevelType w:val="hybridMultilevel"/>
    <w:tmpl w:val="3D0EB28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CD4E4C"/>
    <w:multiLevelType w:val="hybridMultilevel"/>
    <w:tmpl w:val="2C38D900"/>
    <w:lvl w:ilvl="0" w:tplc="87322450">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990375F"/>
    <w:multiLevelType w:val="hybridMultilevel"/>
    <w:tmpl w:val="DA6AA0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6641DB"/>
    <w:multiLevelType w:val="hybridMultilevel"/>
    <w:tmpl w:val="8FDA08F2"/>
    <w:lvl w:ilvl="0" w:tplc="8D487ED8">
      <w:start w:val="1"/>
      <w:numFmt w:val="lowerLetter"/>
      <w:lvlText w:val="%1."/>
      <w:lvlJc w:val="left"/>
      <w:pPr>
        <w:ind w:left="720" w:hanging="360"/>
      </w:pPr>
      <w:rPr>
        <w:rFonts w:ascii="Georgia" w:eastAsia="Times New Roman" w:hAnsi="Georgia" w:cs="Times New Roman"/>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EFA6689"/>
    <w:multiLevelType w:val="hybridMultilevel"/>
    <w:tmpl w:val="93549B6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70C4"/>
    <w:multiLevelType w:val="hybridMultilevel"/>
    <w:tmpl w:val="290860DE"/>
    <w:lvl w:ilvl="0" w:tplc="6C905C2A">
      <w:start w:val="1"/>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5" w15:restartNumberingAfterBreak="0">
    <w:nsid w:val="63CD7677"/>
    <w:multiLevelType w:val="hybridMultilevel"/>
    <w:tmpl w:val="E98435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6D5215D"/>
    <w:multiLevelType w:val="hybridMultilevel"/>
    <w:tmpl w:val="3BB62F6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7C0633B3"/>
    <w:multiLevelType w:val="hybridMultilevel"/>
    <w:tmpl w:val="24761B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 w:numId="9">
    <w:abstractNumId w:val="3"/>
  </w:num>
  <w:num w:numId="10">
    <w:abstractNumId w:val="1"/>
  </w:num>
  <w:num w:numId="11">
    <w:abstractNumId w:val="0"/>
  </w:num>
  <w:num w:numId="12">
    <w:abstractNumId w:val="2"/>
  </w:num>
  <w:num w:numId="13">
    <w:abstractNumId w:val="4"/>
  </w:num>
  <w:num w:numId="14">
    <w:abstractNumId w:val="8"/>
  </w:num>
  <w:num w:numId="15">
    <w:abstractNumId w:val="6"/>
  </w:num>
  <w:num w:numId="16">
    <w:abstractNumId w:val="7"/>
  </w:num>
  <w:num w:numId="17">
    <w:abstractNumId w:val="5"/>
  </w:num>
  <w:num w:numId="18">
    <w:abstractNumId w:val="10"/>
  </w:num>
  <w:num w:numId="19">
    <w:abstractNumId w:val="13"/>
  </w:num>
  <w:num w:numId="20">
    <w:abstractNumId w:val="12"/>
  </w:num>
  <w:num w:numId="21">
    <w:abstractNumId w:val="9"/>
  </w:num>
  <w:num w:numId="22">
    <w:abstractNumId w:val="11"/>
  </w:num>
  <w:num w:numId="23">
    <w:abstractNumId w:val="15"/>
  </w:num>
  <w:num w:numId="24">
    <w:abstractNumId w:val="16"/>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attachedTemplate r:id="rId1"/>
  <w:defaultTabStop w:val="1304"/>
  <w:autoHyphenation/>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F8"/>
    <w:rsid w:val="0000424E"/>
    <w:rsid w:val="000061BF"/>
    <w:rsid w:val="000067BE"/>
    <w:rsid w:val="00010501"/>
    <w:rsid w:val="0001253D"/>
    <w:rsid w:val="00015CEF"/>
    <w:rsid w:val="00026931"/>
    <w:rsid w:val="00026BEC"/>
    <w:rsid w:val="00036441"/>
    <w:rsid w:val="00040001"/>
    <w:rsid w:val="00042CBA"/>
    <w:rsid w:val="00042F7F"/>
    <w:rsid w:val="00043FF8"/>
    <w:rsid w:val="00044374"/>
    <w:rsid w:val="000553B1"/>
    <w:rsid w:val="00056AEA"/>
    <w:rsid w:val="00065CAA"/>
    <w:rsid w:val="00066A92"/>
    <w:rsid w:val="00082A66"/>
    <w:rsid w:val="00082FBF"/>
    <w:rsid w:val="00097442"/>
    <w:rsid w:val="000A0663"/>
    <w:rsid w:val="000A1CD3"/>
    <w:rsid w:val="000A4619"/>
    <w:rsid w:val="000B7DE5"/>
    <w:rsid w:val="000C0111"/>
    <w:rsid w:val="000E408D"/>
    <w:rsid w:val="000F225A"/>
    <w:rsid w:val="000F7B62"/>
    <w:rsid w:val="0010272C"/>
    <w:rsid w:val="00110F3C"/>
    <w:rsid w:val="00126A89"/>
    <w:rsid w:val="00135440"/>
    <w:rsid w:val="001454C8"/>
    <w:rsid w:val="00151236"/>
    <w:rsid w:val="001543D7"/>
    <w:rsid w:val="00163BA8"/>
    <w:rsid w:val="001A24CC"/>
    <w:rsid w:val="001B0C38"/>
    <w:rsid w:val="001B1BDD"/>
    <w:rsid w:val="001C42BD"/>
    <w:rsid w:val="001D65DF"/>
    <w:rsid w:val="001E11B9"/>
    <w:rsid w:val="001E2EB1"/>
    <w:rsid w:val="001E6023"/>
    <w:rsid w:val="001F5FD0"/>
    <w:rsid w:val="0020008C"/>
    <w:rsid w:val="00204C0E"/>
    <w:rsid w:val="00216E61"/>
    <w:rsid w:val="00220445"/>
    <w:rsid w:val="00226D31"/>
    <w:rsid w:val="00246441"/>
    <w:rsid w:val="00247266"/>
    <w:rsid w:val="002544EF"/>
    <w:rsid w:val="002628D0"/>
    <w:rsid w:val="002751DE"/>
    <w:rsid w:val="0028441A"/>
    <w:rsid w:val="00292888"/>
    <w:rsid w:val="00294654"/>
    <w:rsid w:val="002955AB"/>
    <w:rsid w:val="002958DD"/>
    <w:rsid w:val="002A1914"/>
    <w:rsid w:val="002A3E45"/>
    <w:rsid w:val="002A67CE"/>
    <w:rsid w:val="002C07BE"/>
    <w:rsid w:val="002E0B09"/>
    <w:rsid w:val="002E70D1"/>
    <w:rsid w:val="002F284C"/>
    <w:rsid w:val="00304207"/>
    <w:rsid w:val="00310656"/>
    <w:rsid w:val="00324867"/>
    <w:rsid w:val="0032487D"/>
    <w:rsid w:val="00330558"/>
    <w:rsid w:val="00332DE5"/>
    <w:rsid w:val="00333025"/>
    <w:rsid w:val="00335E65"/>
    <w:rsid w:val="00343F21"/>
    <w:rsid w:val="00353326"/>
    <w:rsid w:val="00361B04"/>
    <w:rsid w:val="003622D3"/>
    <w:rsid w:val="00371F4A"/>
    <w:rsid w:val="00372B38"/>
    <w:rsid w:val="003762F9"/>
    <w:rsid w:val="003857F2"/>
    <w:rsid w:val="00390B6C"/>
    <w:rsid w:val="00392C71"/>
    <w:rsid w:val="00394520"/>
    <w:rsid w:val="003B1BD3"/>
    <w:rsid w:val="003C5D0C"/>
    <w:rsid w:val="003C76A8"/>
    <w:rsid w:val="003C7D07"/>
    <w:rsid w:val="003E0228"/>
    <w:rsid w:val="003F00A6"/>
    <w:rsid w:val="003F5419"/>
    <w:rsid w:val="004029D3"/>
    <w:rsid w:val="00405A07"/>
    <w:rsid w:val="004079D8"/>
    <w:rsid w:val="004206AD"/>
    <w:rsid w:val="00424602"/>
    <w:rsid w:val="00426D92"/>
    <w:rsid w:val="00435850"/>
    <w:rsid w:val="00453900"/>
    <w:rsid w:val="00475624"/>
    <w:rsid w:val="00477A47"/>
    <w:rsid w:val="004874BA"/>
    <w:rsid w:val="00492D83"/>
    <w:rsid w:val="00494CDF"/>
    <w:rsid w:val="004A1FB8"/>
    <w:rsid w:val="004A2C81"/>
    <w:rsid w:val="004A2D8F"/>
    <w:rsid w:val="004A586D"/>
    <w:rsid w:val="004B2BA7"/>
    <w:rsid w:val="004B51DD"/>
    <w:rsid w:val="004B589E"/>
    <w:rsid w:val="004C00F6"/>
    <w:rsid w:val="004C4851"/>
    <w:rsid w:val="004C5FDA"/>
    <w:rsid w:val="004D0443"/>
    <w:rsid w:val="004D3DE5"/>
    <w:rsid w:val="004E26B6"/>
    <w:rsid w:val="004F6E28"/>
    <w:rsid w:val="005001D9"/>
    <w:rsid w:val="00502B61"/>
    <w:rsid w:val="00515E91"/>
    <w:rsid w:val="005213FF"/>
    <w:rsid w:val="005227C7"/>
    <w:rsid w:val="00523F9A"/>
    <w:rsid w:val="0053088F"/>
    <w:rsid w:val="0056349C"/>
    <w:rsid w:val="00564D4E"/>
    <w:rsid w:val="005721F1"/>
    <w:rsid w:val="00572E83"/>
    <w:rsid w:val="005730A6"/>
    <w:rsid w:val="00577933"/>
    <w:rsid w:val="0058085A"/>
    <w:rsid w:val="00584BAC"/>
    <w:rsid w:val="0059018C"/>
    <w:rsid w:val="00591B38"/>
    <w:rsid w:val="005929C2"/>
    <w:rsid w:val="005C47CD"/>
    <w:rsid w:val="005E7ED1"/>
    <w:rsid w:val="00611F38"/>
    <w:rsid w:val="00622B25"/>
    <w:rsid w:val="0063053B"/>
    <w:rsid w:val="00630AD3"/>
    <w:rsid w:val="00647B65"/>
    <w:rsid w:val="00653C8E"/>
    <w:rsid w:val="00666874"/>
    <w:rsid w:val="006706DB"/>
    <w:rsid w:val="00673F38"/>
    <w:rsid w:val="00673F98"/>
    <w:rsid w:val="00675689"/>
    <w:rsid w:val="006809C7"/>
    <w:rsid w:val="00683F9B"/>
    <w:rsid w:val="00690995"/>
    <w:rsid w:val="006914C1"/>
    <w:rsid w:val="00695319"/>
    <w:rsid w:val="006A106D"/>
    <w:rsid w:val="006C64A2"/>
    <w:rsid w:val="006D368E"/>
    <w:rsid w:val="0070043C"/>
    <w:rsid w:val="00700F28"/>
    <w:rsid w:val="00706284"/>
    <w:rsid w:val="00716219"/>
    <w:rsid w:val="007270EB"/>
    <w:rsid w:val="00735AFC"/>
    <w:rsid w:val="0074369F"/>
    <w:rsid w:val="00756E13"/>
    <w:rsid w:val="00760283"/>
    <w:rsid w:val="00773A81"/>
    <w:rsid w:val="00774545"/>
    <w:rsid w:val="007764DE"/>
    <w:rsid w:val="00784C8C"/>
    <w:rsid w:val="00785C14"/>
    <w:rsid w:val="007911EB"/>
    <w:rsid w:val="007935B6"/>
    <w:rsid w:val="007938EE"/>
    <w:rsid w:val="00794A72"/>
    <w:rsid w:val="0079594D"/>
    <w:rsid w:val="007A2785"/>
    <w:rsid w:val="007A5080"/>
    <w:rsid w:val="007A6CCD"/>
    <w:rsid w:val="007B2868"/>
    <w:rsid w:val="007D2D47"/>
    <w:rsid w:val="007E3E86"/>
    <w:rsid w:val="00806CF5"/>
    <w:rsid w:val="008177F3"/>
    <w:rsid w:val="008213CA"/>
    <w:rsid w:val="00822635"/>
    <w:rsid w:val="00826C04"/>
    <w:rsid w:val="00827ECC"/>
    <w:rsid w:val="008426C6"/>
    <w:rsid w:val="00851349"/>
    <w:rsid w:val="00852F80"/>
    <w:rsid w:val="008545ED"/>
    <w:rsid w:val="00861CCA"/>
    <w:rsid w:val="00863C92"/>
    <w:rsid w:val="008652A6"/>
    <w:rsid w:val="00866B7B"/>
    <w:rsid w:val="00872079"/>
    <w:rsid w:val="00874212"/>
    <w:rsid w:val="00874310"/>
    <w:rsid w:val="00880B4A"/>
    <w:rsid w:val="0088741C"/>
    <w:rsid w:val="00897E7A"/>
    <w:rsid w:val="008B1D85"/>
    <w:rsid w:val="008B404D"/>
    <w:rsid w:val="008C283F"/>
    <w:rsid w:val="008D066B"/>
    <w:rsid w:val="008D310C"/>
    <w:rsid w:val="008E0BB9"/>
    <w:rsid w:val="008E0DC7"/>
    <w:rsid w:val="008E1650"/>
    <w:rsid w:val="008F434C"/>
    <w:rsid w:val="008F580B"/>
    <w:rsid w:val="00901F38"/>
    <w:rsid w:val="00907BD2"/>
    <w:rsid w:val="0091076E"/>
    <w:rsid w:val="009415FD"/>
    <w:rsid w:val="00944B58"/>
    <w:rsid w:val="00945519"/>
    <w:rsid w:val="00945795"/>
    <w:rsid w:val="009460BA"/>
    <w:rsid w:val="009502DC"/>
    <w:rsid w:val="00951BFE"/>
    <w:rsid w:val="00970076"/>
    <w:rsid w:val="00974C03"/>
    <w:rsid w:val="009835E4"/>
    <w:rsid w:val="00990050"/>
    <w:rsid w:val="009A027A"/>
    <w:rsid w:val="009B6B05"/>
    <w:rsid w:val="009C3AD7"/>
    <w:rsid w:val="009C5723"/>
    <w:rsid w:val="009E5AC7"/>
    <w:rsid w:val="009F318B"/>
    <w:rsid w:val="009F45C2"/>
    <w:rsid w:val="009F78B2"/>
    <w:rsid w:val="00A03EBD"/>
    <w:rsid w:val="00A10827"/>
    <w:rsid w:val="00A15D15"/>
    <w:rsid w:val="00A16302"/>
    <w:rsid w:val="00A23097"/>
    <w:rsid w:val="00A53A6F"/>
    <w:rsid w:val="00A53FE8"/>
    <w:rsid w:val="00A56768"/>
    <w:rsid w:val="00A70A3A"/>
    <w:rsid w:val="00A82AAE"/>
    <w:rsid w:val="00A83473"/>
    <w:rsid w:val="00A96192"/>
    <w:rsid w:val="00AA1C5D"/>
    <w:rsid w:val="00AA387B"/>
    <w:rsid w:val="00AA7092"/>
    <w:rsid w:val="00AB2764"/>
    <w:rsid w:val="00AC41D4"/>
    <w:rsid w:val="00AC4505"/>
    <w:rsid w:val="00AD324A"/>
    <w:rsid w:val="00AE66A8"/>
    <w:rsid w:val="00AF035E"/>
    <w:rsid w:val="00AF1BAF"/>
    <w:rsid w:val="00B1009A"/>
    <w:rsid w:val="00B142E7"/>
    <w:rsid w:val="00B204F0"/>
    <w:rsid w:val="00B22818"/>
    <w:rsid w:val="00B22D75"/>
    <w:rsid w:val="00B31971"/>
    <w:rsid w:val="00B32D89"/>
    <w:rsid w:val="00B446B7"/>
    <w:rsid w:val="00B44F53"/>
    <w:rsid w:val="00B51587"/>
    <w:rsid w:val="00B630E6"/>
    <w:rsid w:val="00B724A5"/>
    <w:rsid w:val="00B768A2"/>
    <w:rsid w:val="00BB3EFF"/>
    <w:rsid w:val="00BC1DAC"/>
    <w:rsid w:val="00BC5A19"/>
    <w:rsid w:val="00BD314C"/>
    <w:rsid w:val="00BD5D82"/>
    <w:rsid w:val="00BD77BA"/>
    <w:rsid w:val="00BF4FED"/>
    <w:rsid w:val="00BF720E"/>
    <w:rsid w:val="00BF79E5"/>
    <w:rsid w:val="00C039F2"/>
    <w:rsid w:val="00C07C5A"/>
    <w:rsid w:val="00C1399C"/>
    <w:rsid w:val="00C310A9"/>
    <w:rsid w:val="00C4394F"/>
    <w:rsid w:val="00C539EC"/>
    <w:rsid w:val="00C66B51"/>
    <w:rsid w:val="00C66CE5"/>
    <w:rsid w:val="00C71B95"/>
    <w:rsid w:val="00C72ED0"/>
    <w:rsid w:val="00C8165A"/>
    <w:rsid w:val="00C83BAA"/>
    <w:rsid w:val="00C87567"/>
    <w:rsid w:val="00C94F06"/>
    <w:rsid w:val="00CA0C8E"/>
    <w:rsid w:val="00CC1F53"/>
    <w:rsid w:val="00CC2747"/>
    <w:rsid w:val="00CC36D8"/>
    <w:rsid w:val="00CC6BBC"/>
    <w:rsid w:val="00CD0F5F"/>
    <w:rsid w:val="00CF1468"/>
    <w:rsid w:val="00CF4972"/>
    <w:rsid w:val="00CF54D3"/>
    <w:rsid w:val="00CF7030"/>
    <w:rsid w:val="00CF791C"/>
    <w:rsid w:val="00D029F3"/>
    <w:rsid w:val="00D0458B"/>
    <w:rsid w:val="00D06173"/>
    <w:rsid w:val="00D2287A"/>
    <w:rsid w:val="00D2433C"/>
    <w:rsid w:val="00D358E6"/>
    <w:rsid w:val="00D35EBF"/>
    <w:rsid w:val="00D42D5E"/>
    <w:rsid w:val="00D470E2"/>
    <w:rsid w:val="00D53589"/>
    <w:rsid w:val="00D548E5"/>
    <w:rsid w:val="00D556A0"/>
    <w:rsid w:val="00D63BA8"/>
    <w:rsid w:val="00D64D4D"/>
    <w:rsid w:val="00D720BF"/>
    <w:rsid w:val="00D85419"/>
    <w:rsid w:val="00D95903"/>
    <w:rsid w:val="00DA1CC7"/>
    <w:rsid w:val="00DA5D56"/>
    <w:rsid w:val="00DB7FBB"/>
    <w:rsid w:val="00DC1F87"/>
    <w:rsid w:val="00DD0969"/>
    <w:rsid w:val="00DD4125"/>
    <w:rsid w:val="00DE0CDB"/>
    <w:rsid w:val="00DE20A2"/>
    <w:rsid w:val="00DE30C6"/>
    <w:rsid w:val="00DE6039"/>
    <w:rsid w:val="00E03B11"/>
    <w:rsid w:val="00E10EF0"/>
    <w:rsid w:val="00E1731D"/>
    <w:rsid w:val="00E30C6A"/>
    <w:rsid w:val="00E3548E"/>
    <w:rsid w:val="00E41D4E"/>
    <w:rsid w:val="00E476DB"/>
    <w:rsid w:val="00E50A9C"/>
    <w:rsid w:val="00E51C08"/>
    <w:rsid w:val="00E55CD3"/>
    <w:rsid w:val="00E57D3C"/>
    <w:rsid w:val="00E65959"/>
    <w:rsid w:val="00E77B77"/>
    <w:rsid w:val="00E816D9"/>
    <w:rsid w:val="00EA057E"/>
    <w:rsid w:val="00EA4B4C"/>
    <w:rsid w:val="00EC38F1"/>
    <w:rsid w:val="00EC48A1"/>
    <w:rsid w:val="00EC70D6"/>
    <w:rsid w:val="00ED1D46"/>
    <w:rsid w:val="00ED2756"/>
    <w:rsid w:val="00ED4A92"/>
    <w:rsid w:val="00EE0EFD"/>
    <w:rsid w:val="00EF0B54"/>
    <w:rsid w:val="00F10312"/>
    <w:rsid w:val="00F2012C"/>
    <w:rsid w:val="00F30D53"/>
    <w:rsid w:val="00F55E86"/>
    <w:rsid w:val="00F729E1"/>
    <w:rsid w:val="00F75E10"/>
    <w:rsid w:val="00F76486"/>
    <w:rsid w:val="00F768D1"/>
    <w:rsid w:val="00F77576"/>
    <w:rsid w:val="00F86F04"/>
    <w:rsid w:val="00F9413A"/>
    <w:rsid w:val="00F95ACD"/>
    <w:rsid w:val="00F96AD0"/>
    <w:rsid w:val="00FA043C"/>
    <w:rsid w:val="00FA085E"/>
    <w:rsid w:val="00FA400B"/>
    <w:rsid w:val="00FB6888"/>
    <w:rsid w:val="00FB7F6A"/>
    <w:rsid w:val="00FC750C"/>
    <w:rsid w:val="00FD0082"/>
    <w:rsid w:val="00FD3E7B"/>
    <w:rsid w:val="00FD5866"/>
    <w:rsid w:val="00FD5FFD"/>
    <w:rsid w:val="00FE64D8"/>
    <w:rsid w:val="00FE6BAF"/>
    <w:rsid w:val="00FF28A0"/>
    <w:rsid w:val="00FF730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6E13574"/>
  <w15:docId w15:val="{93EAAACF-1F9D-4425-92F6-B20A802E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A47"/>
    <w:pPr>
      <w:spacing w:after="0" w:line="264" w:lineRule="auto"/>
      <w:jc w:val="both"/>
    </w:pPr>
    <w:rPr>
      <w:rFonts w:ascii="Georgia" w:eastAsia="Times New Roman" w:hAnsi="Georgia" w:cs="Times New Roman"/>
      <w:sz w:val="21"/>
      <w:szCs w:val="24"/>
    </w:rPr>
  </w:style>
  <w:style w:type="paragraph" w:styleId="Overskrift1">
    <w:name w:val="heading 1"/>
    <w:basedOn w:val="Normal"/>
    <w:next w:val="Normal"/>
    <w:link w:val="Overskrift1Tegn"/>
    <w:qFormat/>
    <w:rsid w:val="00477A47"/>
    <w:pPr>
      <w:keepNext/>
      <w:keepLines/>
      <w:spacing w:before="480" w:after="240" w:line="240" w:lineRule="auto"/>
      <w:jc w:val="left"/>
      <w:outlineLvl w:val="0"/>
    </w:pPr>
    <w:rPr>
      <w:rFonts w:ascii="Arial" w:hAnsi="Arial" w:cs="Arial"/>
      <w:b/>
      <w:bCs/>
      <w:sz w:val="26"/>
      <w:szCs w:val="26"/>
    </w:rPr>
  </w:style>
  <w:style w:type="paragraph" w:styleId="Overskrift2">
    <w:name w:val="heading 2"/>
    <w:basedOn w:val="Normal"/>
    <w:next w:val="Normal"/>
    <w:link w:val="Overskrift2Tegn"/>
    <w:qFormat/>
    <w:rsid w:val="00477A47"/>
    <w:pPr>
      <w:keepNext/>
      <w:keepLines/>
      <w:spacing w:before="360" w:after="160" w:line="240" w:lineRule="auto"/>
      <w:jc w:val="left"/>
      <w:outlineLvl w:val="1"/>
    </w:pPr>
    <w:rPr>
      <w:rFonts w:ascii="Arial" w:hAnsi="Arial" w:cs="Arial"/>
      <w:b/>
      <w:bCs/>
      <w:iCs/>
      <w:sz w:val="24"/>
    </w:rPr>
  </w:style>
  <w:style w:type="paragraph" w:styleId="Overskrift3">
    <w:name w:val="heading 3"/>
    <w:basedOn w:val="Normal"/>
    <w:next w:val="Normal"/>
    <w:link w:val="Overskrift3Tegn"/>
    <w:qFormat/>
    <w:rsid w:val="00477A47"/>
    <w:pPr>
      <w:keepNext/>
      <w:keepLines/>
      <w:spacing w:before="240" w:after="80" w:line="240" w:lineRule="auto"/>
      <w:jc w:val="left"/>
      <w:outlineLvl w:val="2"/>
    </w:pPr>
    <w:rPr>
      <w:rFonts w:ascii="Arial" w:hAnsi="Arial" w:cs="Arial"/>
      <w:b/>
      <w:b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rsid w:val="00477A47"/>
    <w:rPr>
      <w:rFonts w:ascii="Courier New" w:hAnsi="Courier New" w:cs="Courier New"/>
      <w:szCs w:val="20"/>
    </w:rPr>
  </w:style>
  <w:style w:type="character" w:customStyle="1" w:styleId="FormateretHTMLTegn">
    <w:name w:val="Formateret HTML Tegn"/>
    <w:basedOn w:val="Standardskrifttypeiafsnit"/>
    <w:link w:val="FormateretHTML"/>
    <w:uiPriority w:val="99"/>
    <w:rsid w:val="00477A47"/>
    <w:rPr>
      <w:rFonts w:ascii="Courier New" w:eastAsia="Times New Roman" w:hAnsi="Courier New" w:cs="Courier New"/>
      <w:sz w:val="21"/>
      <w:szCs w:val="20"/>
    </w:rPr>
  </w:style>
  <w:style w:type="paragraph" w:styleId="Indholdsfortegnelse1">
    <w:name w:val="toc 1"/>
    <w:basedOn w:val="Normal"/>
    <w:next w:val="Normal"/>
    <w:autoRedefine/>
    <w:semiHidden/>
    <w:rsid w:val="00477A47"/>
    <w:pPr>
      <w:spacing w:before="120"/>
    </w:pPr>
    <w:rPr>
      <w:b/>
    </w:rPr>
  </w:style>
  <w:style w:type="paragraph" w:styleId="Indholdsfortegnelse2">
    <w:name w:val="toc 2"/>
    <w:basedOn w:val="Normal"/>
    <w:next w:val="Normal"/>
    <w:autoRedefine/>
    <w:semiHidden/>
    <w:rsid w:val="00477A47"/>
    <w:pPr>
      <w:spacing w:before="60"/>
    </w:pPr>
  </w:style>
  <w:style w:type="paragraph" w:styleId="Indholdsfortegnelse3">
    <w:name w:val="toc 3"/>
    <w:basedOn w:val="Normal"/>
    <w:next w:val="Normal"/>
    <w:autoRedefine/>
    <w:semiHidden/>
    <w:rsid w:val="00477A47"/>
  </w:style>
  <w:style w:type="paragraph" w:customStyle="1" w:styleId="Ledetekst">
    <w:name w:val="Ledetekst"/>
    <w:basedOn w:val="Normal"/>
    <w:next w:val="Normal"/>
    <w:rsid w:val="00294654"/>
    <w:pPr>
      <w:keepNext/>
      <w:framePr w:w="2268" w:hSpace="284" w:wrap="notBeside" w:vAnchor="text" w:hAnchor="page" w:y="1"/>
      <w:suppressAutoHyphens/>
      <w:spacing w:line="288" w:lineRule="auto"/>
      <w:jc w:val="right"/>
    </w:pPr>
    <w:rPr>
      <w:rFonts w:ascii="Arial" w:hAnsi="Arial"/>
      <w:sz w:val="19"/>
    </w:rPr>
  </w:style>
  <w:style w:type="paragraph" w:customStyle="1" w:styleId="LedetekstTNS">
    <w:name w:val="LedetekstTNS"/>
    <w:basedOn w:val="Ledetekst"/>
    <w:next w:val="Normal"/>
    <w:rsid w:val="00477A47"/>
    <w:pPr>
      <w:pageBreakBefore/>
      <w:framePr w:wrap="notBeside"/>
    </w:pPr>
  </w:style>
  <w:style w:type="paragraph" w:styleId="Opstilling-punkttegn">
    <w:name w:val="List Bullet"/>
    <w:basedOn w:val="Normal"/>
    <w:rsid w:val="00477A47"/>
    <w:pPr>
      <w:numPr>
        <w:numId w:val="9"/>
      </w:numPr>
    </w:pPr>
  </w:style>
  <w:style w:type="paragraph" w:styleId="Opstilling-punkttegn2">
    <w:name w:val="List Bullet 2"/>
    <w:basedOn w:val="Normal"/>
    <w:rsid w:val="00477A47"/>
    <w:pPr>
      <w:numPr>
        <w:numId w:val="10"/>
      </w:numPr>
    </w:pPr>
  </w:style>
  <w:style w:type="paragraph" w:styleId="Opstilling-punkttegn3">
    <w:name w:val="List Bullet 3"/>
    <w:basedOn w:val="Normal"/>
    <w:autoRedefine/>
    <w:rsid w:val="00477A47"/>
    <w:pPr>
      <w:numPr>
        <w:numId w:val="11"/>
      </w:numPr>
    </w:pPr>
  </w:style>
  <w:style w:type="paragraph" w:styleId="Opstilling-talellerbogst">
    <w:name w:val="List Number"/>
    <w:basedOn w:val="Normal"/>
    <w:rsid w:val="00477A47"/>
    <w:pPr>
      <w:numPr>
        <w:numId w:val="12"/>
      </w:numPr>
    </w:pPr>
  </w:style>
  <w:style w:type="character" w:customStyle="1" w:styleId="Overskrift1Tegn">
    <w:name w:val="Overskrift 1 Tegn"/>
    <w:basedOn w:val="Standardskrifttypeiafsnit"/>
    <w:link w:val="Overskrift1"/>
    <w:rsid w:val="00477A47"/>
    <w:rPr>
      <w:rFonts w:ascii="Arial" w:eastAsia="Times New Roman" w:hAnsi="Arial" w:cs="Arial"/>
      <w:b/>
      <w:bCs/>
      <w:sz w:val="26"/>
      <w:szCs w:val="26"/>
    </w:rPr>
  </w:style>
  <w:style w:type="character" w:customStyle="1" w:styleId="Overskrift2Tegn">
    <w:name w:val="Overskrift 2 Tegn"/>
    <w:basedOn w:val="Standardskrifttypeiafsnit"/>
    <w:link w:val="Overskrift2"/>
    <w:rsid w:val="00477A47"/>
    <w:rPr>
      <w:rFonts w:ascii="Arial" w:eastAsia="Times New Roman" w:hAnsi="Arial" w:cs="Arial"/>
      <w:b/>
      <w:bCs/>
      <w:iCs/>
      <w:sz w:val="24"/>
      <w:szCs w:val="24"/>
    </w:rPr>
  </w:style>
  <w:style w:type="character" w:customStyle="1" w:styleId="Overskrift3Tegn">
    <w:name w:val="Overskrift 3 Tegn"/>
    <w:basedOn w:val="Standardskrifttypeiafsnit"/>
    <w:link w:val="Overskrift3"/>
    <w:rsid w:val="00477A47"/>
    <w:rPr>
      <w:rFonts w:ascii="Arial" w:eastAsia="Times New Roman" w:hAnsi="Arial" w:cs="Arial"/>
      <w:b/>
      <w:bCs/>
      <w:sz w:val="20"/>
    </w:rPr>
  </w:style>
  <w:style w:type="paragraph" w:styleId="Sidefod">
    <w:name w:val="footer"/>
    <w:basedOn w:val="Normal"/>
    <w:link w:val="SidefodTegn"/>
    <w:uiPriority w:val="99"/>
    <w:rsid w:val="00477A47"/>
    <w:pPr>
      <w:tabs>
        <w:tab w:val="center" w:pos="4819"/>
        <w:tab w:val="right" w:pos="9638"/>
      </w:tabs>
    </w:pPr>
  </w:style>
  <w:style w:type="character" w:customStyle="1" w:styleId="SidefodTegn">
    <w:name w:val="Sidefod Tegn"/>
    <w:basedOn w:val="Standardskrifttypeiafsnit"/>
    <w:link w:val="Sidefod"/>
    <w:uiPriority w:val="99"/>
    <w:rsid w:val="00477A47"/>
    <w:rPr>
      <w:rFonts w:ascii="Georgia" w:eastAsia="Times New Roman" w:hAnsi="Georgia" w:cs="Times New Roman"/>
      <w:sz w:val="21"/>
      <w:szCs w:val="24"/>
    </w:rPr>
  </w:style>
  <w:style w:type="paragraph" w:styleId="Sidehoved">
    <w:name w:val="header"/>
    <w:basedOn w:val="Normal"/>
    <w:link w:val="SidehovedTegn"/>
    <w:rsid w:val="00477A47"/>
    <w:pPr>
      <w:tabs>
        <w:tab w:val="center" w:pos="4819"/>
        <w:tab w:val="right" w:pos="9638"/>
      </w:tabs>
    </w:pPr>
  </w:style>
  <w:style w:type="character" w:customStyle="1" w:styleId="SidehovedTegn">
    <w:name w:val="Sidehoved Tegn"/>
    <w:basedOn w:val="Standardskrifttypeiafsnit"/>
    <w:link w:val="Sidehoved"/>
    <w:rsid w:val="00477A47"/>
    <w:rPr>
      <w:rFonts w:ascii="Georgia" w:eastAsia="Times New Roman" w:hAnsi="Georgia" w:cs="Times New Roman"/>
      <w:sz w:val="21"/>
      <w:szCs w:val="24"/>
    </w:rPr>
  </w:style>
  <w:style w:type="character" w:styleId="Sidetal">
    <w:name w:val="page number"/>
    <w:basedOn w:val="Standardskrifttypeiafsnit"/>
    <w:rsid w:val="00477A47"/>
  </w:style>
  <w:style w:type="paragraph" w:customStyle="1" w:styleId="Tab">
    <w:name w:val="Tab"/>
    <w:basedOn w:val="Normal"/>
    <w:next w:val="Normal"/>
    <w:rsid w:val="00477A47"/>
    <w:pPr>
      <w:tabs>
        <w:tab w:val="left" w:pos="7598"/>
      </w:tabs>
    </w:pPr>
  </w:style>
  <w:style w:type="paragraph" w:styleId="Titel">
    <w:name w:val="Title"/>
    <w:basedOn w:val="Normal"/>
    <w:next w:val="Normal"/>
    <w:link w:val="TitelTegn"/>
    <w:qFormat/>
    <w:rsid w:val="00477A47"/>
    <w:pPr>
      <w:keepNext/>
      <w:keepLines/>
      <w:spacing w:before="480" w:after="240" w:line="240" w:lineRule="auto"/>
      <w:jc w:val="left"/>
    </w:pPr>
    <w:rPr>
      <w:rFonts w:ascii="Arial" w:hAnsi="Arial" w:cs="Arial"/>
      <w:b/>
      <w:bCs/>
      <w:kern w:val="28"/>
      <w:sz w:val="30"/>
      <w:szCs w:val="32"/>
    </w:rPr>
  </w:style>
  <w:style w:type="character" w:customStyle="1" w:styleId="TitelTegn">
    <w:name w:val="Titel Tegn"/>
    <w:basedOn w:val="Standardskrifttypeiafsnit"/>
    <w:link w:val="Titel"/>
    <w:rsid w:val="00477A47"/>
    <w:rPr>
      <w:rFonts w:ascii="Arial" w:eastAsia="Times New Roman" w:hAnsi="Arial" w:cs="Arial"/>
      <w:b/>
      <w:bCs/>
      <w:kern w:val="28"/>
      <w:sz w:val="30"/>
      <w:szCs w:val="32"/>
    </w:rPr>
  </w:style>
  <w:style w:type="paragraph" w:styleId="Markeringsbobletekst">
    <w:name w:val="Balloon Text"/>
    <w:basedOn w:val="Normal"/>
    <w:link w:val="MarkeringsbobletekstTegn"/>
    <w:uiPriority w:val="99"/>
    <w:semiHidden/>
    <w:unhideWhenUsed/>
    <w:rsid w:val="00477A4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77A47"/>
    <w:rPr>
      <w:rFonts w:ascii="Tahoma" w:eastAsia="Times New Roman" w:hAnsi="Tahoma" w:cs="Tahoma"/>
      <w:sz w:val="16"/>
      <w:szCs w:val="16"/>
    </w:rPr>
  </w:style>
  <w:style w:type="character" w:styleId="Pladsholdertekst">
    <w:name w:val="Placeholder Text"/>
    <w:basedOn w:val="Standardskrifttypeiafsnit"/>
    <w:uiPriority w:val="99"/>
    <w:semiHidden/>
    <w:rsid w:val="00477A47"/>
    <w:rPr>
      <w:color w:val="808080"/>
    </w:rPr>
  </w:style>
  <w:style w:type="table" w:styleId="Tabel-Gitter">
    <w:name w:val="Table Grid"/>
    <w:basedOn w:val="Tabel-Normal"/>
    <w:uiPriority w:val="59"/>
    <w:rsid w:val="00477A4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543D7"/>
    <w:pPr>
      <w:spacing w:before="100" w:beforeAutospacing="1" w:after="100" w:afterAutospacing="1" w:line="240" w:lineRule="auto"/>
      <w:jc w:val="left"/>
    </w:pPr>
    <w:rPr>
      <w:rFonts w:ascii="Times New Roman" w:eastAsiaTheme="minorEastAsia" w:hAnsi="Times New Roman"/>
      <w:sz w:val="24"/>
    </w:rPr>
  </w:style>
  <w:style w:type="paragraph" w:styleId="Listeafsnit">
    <w:name w:val="List Paragraph"/>
    <w:basedOn w:val="Normal"/>
    <w:uiPriority w:val="34"/>
    <w:qFormat/>
    <w:rsid w:val="00043FF8"/>
    <w:pPr>
      <w:ind w:left="720"/>
      <w:contextualSpacing/>
    </w:pPr>
  </w:style>
  <w:style w:type="paragraph" w:styleId="Fodnotetekst">
    <w:name w:val="footnote text"/>
    <w:basedOn w:val="Normal"/>
    <w:link w:val="FodnotetekstTegn"/>
    <w:semiHidden/>
    <w:unhideWhenUsed/>
    <w:rsid w:val="00361B04"/>
    <w:pPr>
      <w:spacing w:line="240" w:lineRule="auto"/>
    </w:pPr>
    <w:rPr>
      <w:sz w:val="20"/>
      <w:szCs w:val="20"/>
    </w:rPr>
  </w:style>
  <w:style w:type="character" w:customStyle="1" w:styleId="FodnotetekstTegn">
    <w:name w:val="Fodnotetekst Tegn"/>
    <w:basedOn w:val="Standardskrifttypeiafsnit"/>
    <w:link w:val="Fodnotetekst"/>
    <w:semiHidden/>
    <w:rsid w:val="00361B04"/>
    <w:rPr>
      <w:rFonts w:ascii="Georgia" w:eastAsia="Times New Roman" w:hAnsi="Georgia" w:cs="Times New Roman"/>
      <w:sz w:val="20"/>
      <w:szCs w:val="20"/>
    </w:rPr>
  </w:style>
  <w:style w:type="character" w:styleId="Fodnotehenvisning">
    <w:name w:val="footnote reference"/>
    <w:basedOn w:val="Standardskrifttypeiafsnit"/>
    <w:semiHidden/>
    <w:unhideWhenUsed/>
    <w:rsid w:val="00361B04"/>
    <w:rPr>
      <w:vertAlign w:val="superscript"/>
    </w:rPr>
  </w:style>
  <w:style w:type="character" w:styleId="Hyperlink">
    <w:name w:val="Hyperlink"/>
    <w:basedOn w:val="Standardskrifttypeiafsnit"/>
    <w:uiPriority w:val="99"/>
    <w:unhideWhenUsed/>
    <w:rsid w:val="00361B04"/>
    <w:rPr>
      <w:color w:val="0000FF" w:themeColor="hyperlink"/>
      <w:u w:val="single"/>
    </w:rPr>
  </w:style>
  <w:style w:type="paragraph" w:styleId="Kommentartekst">
    <w:name w:val="annotation text"/>
    <w:basedOn w:val="Normal"/>
    <w:link w:val="KommentartekstTegn"/>
    <w:uiPriority w:val="99"/>
    <w:semiHidden/>
    <w:rsid w:val="008E0B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E0BB9"/>
    <w:rPr>
      <w:rFonts w:ascii="Georgia" w:eastAsia="Times New Roman" w:hAnsi="Georgia" w:cs="Times New Roman"/>
      <w:sz w:val="20"/>
      <w:szCs w:val="20"/>
    </w:rPr>
  </w:style>
  <w:style w:type="character" w:styleId="BesgtLink">
    <w:name w:val="FollowedHyperlink"/>
    <w:basedOn w:val="Standardskrifttypeiafsnit"/>
    <w:uiPriority w:val="99"/>
    <w:semiHidden/>
    <w:unhideWhenUsed/>
    <w:rsid w:val="004A2D8F"/>
    <w:rPr>
      <w:color w:val="800080" w:themeColor="followedHyperlink"/>
      <w:u w:val="single"/>
    </w:rPr>
  </w:style>
  <w:style w:type="character" w:customStyle="1" w:styleId="mord">
    <w:name w:val="mord"/>
    <w:basedOn w:val="Standardskrifttypeiafsnit"/>
    <w:rsid w:val="00851349"/>
  </w:style>
  <w:style w:type="character" w:customStyle="1" w:styleId="mrel">
    <w:name w:val="mrel"/>
    <w:basedOn w:val="Standardskrifttypeiafsnit"/>
    <w:rsid w:val="00851349"/>
  </w:style>
  <w:style w:type="character" w:customStyle="1" w:styleId="mbin">
    <w:name w:val="mbin"/>
    <w:basedOn w:val="Standardskrifttypeiafsnit"/>
    <w:rsid w:val="00851349"/>
  </w:style>
  <w:style w:type="character" w:customStyle="1" w:styleId="katex-mathml">
    <w:name w:val="katex-mathml"/>
    <w:basedOn w:val="Standardskrifttypeiafsnit"/>
    <w:rsid w:val="00851349"/>
  </w:style>
  <w:style w:type="character" w:customStyle="1" w:styleId="y2iqfc">
    <w:name w:val="y2iqfc"/>
    <w:basedOn w:val="Standardskrifttypeiafsnit"/>
    <w:rsid w:val="00945519"/>
  </w:style>
  <w:style w:type="character" w:customStyle="1" w:styleId="hps">
    <w:name w:val="hps"/>
    <w:basedOn w:val="Standardskrifttypeiafsnit"/>
    <w:rsid w:val="00AF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230">
      <w:bodyDiv w:val="1"/>
      <w:marLeft w:val="0"/>
      <w:marRight w:val="0"/>
      <w:marTop w:val="0"/>
      <w:marBottom w:val="0"/>
      <w:divBdr>
        <w:top w:val="none" w:sz="0" w:space="0" w:color="auto"/>
        <w:left w:val="none" w:sz="0" w:space="0" w:color="auto"/>
        <w:bottom w:val="none" w:sz="0" w:space="0" w:color="auto"/>
        <w:right w:val="none" w:sz="0" w:space="0" w:color="auto"/>
      </w:divBdr>
    </w:div>
    <w:div w:id="368334198">
      <w:bodyDiv w:val="1"/>
      <w:marLeft w:val="0"/>
      <w:marRight w:val="0"/>
      <w:marTop w:val="0"/>
      <w:marBottom w:val="0"/>
      <w:divBdr>
        <w:top w:val="none" w:sz="0" w:space="0" w:color="auto"/>
        <w:left w:val="none" w:sz="0" w:space="0" w:color="auto"/>
        <w:bottom w:val="none" w:sz="0" w:space="0" w:color="auto"/>
        <w:right w:val="none" w:sz="0" w:space="0" w:color="auto"/>
      </w:divBdr>
    </w:div>
    <w:div w:id="472717491">
      <w:bodyDiv w:val="1"/>
      <w:marLeft w:val="0"/>
      <w:marRight w:val="0"/>
      <w:marTop w:val="0"/>
      <w:marBottom w:val="0"/>
      <w:divBdr>
        <w:top w:val="none" w:sz="0" w:space="0" w:color="auto"/>
        <w:left w:val="none" w:sz="0" w:space="0" w:color="auto"/>
        <w:bottom w:val="none" w:sz="0" w:space="0" w:color="auto"/>
        <w:right w:val="none" w:sz="0" w:space="0" w:color="auto"/>
      </w:divBdr>
    </w:div>
    <w:div w:id="483621711">
      <w:bodyDiv w:val="1"/>
      <w:marLeft w:val="0"/>
      <w:marRight w:val="0"/>
      <w:marTop w:val="0"/>
      <w:marBottom w:val="0"/>
      <w:divBdr>
        <w:top w:val="none" w:sz="0" w:space="0" w:color="auto"/>
        <w:left w:val="none" w:sz="0" w:space="0" w:color="auto"/>
        <w:bottom w:val="none" w:sz="0" w:space="0" w:color="auto"/>
        <w:right w:val="none" w:sz="0" w:space="0" w:color="auto"/>
      </w:divBdr>
    </w:div>
    <w:div w:id="651182446">
      <w:bodyDiv w:val="1"/>
      <w:marLeft w:val="0"/>
      <w:marRight w:val="0"/>
      <w:marTop w:val="0"/>
      <w:marBottom w:val="0"/>
      <w:divBdr>
        <w:top w:val="none" w:sz="0" w:space="0" w:color="auto"/>
        <w:left w:val="none" w:sz="0" w:space="0" w:color="auto"/>
        <w:bottom w:val="none" w:sz="0" w:space="0" w:color="auto"/>
        <w:right w:val="none" w:sz="0" w:space="0" w:color="auto"/>
      </w:divBdr>
    </w:div>
    <w:div w:id="657658527">
      <w:bodyDiv w:val="1"/>
      <w:marLeft w:val="0"/>
      <w:marRight w:val="0"/>
      <w:marTop w:val="0"/>
      <w:marBottom w:val="0"/>
      <w:divBdr>
        <w:top w:val="none" w:sz="0" w:space="0" w:color="auto"/>
        <w:left w:val="none" w:sz="0" w:space="0" w:color="auto"/>
        <w:bottom w:val="none" w:sz="0" w:space="0" w:color="auto"/>
        <w:right w:val="none" w:sz="0" w:space="0" w:color="auto"/>
      </w:divBdr>
    </w:div>
    <w:div w:id="718021119">
      <w:bodyDiv w:val="1"/>
      <w:marLeft w:val="0"/>
      <w:marRight w:val="0"/>
      <w:marTop w:val="0"/>
      <w:marBottom w:val="0"/>
      <w:divBdr>
        <w:top w:val="none" w:sz="0" w:space="0" w:color="auto"/>
        <w:left w:val="none" w:sz="0" w:space="0" w:color="auto"/>
        <w:bottom w:val="none" w:sz="0" w:space="0" w:color="auto"/>
        <w:right w:val="none" w:sz="0" w:space="0" w:color="auto"/>
      </w:divBdr>
    </w:div>
    <w:div w:id="792596091">
      <w:bodyDiv w:val="1"/>
      <w:marLeft w:val="0"/>
      <w:marRight w:val="0"/>
      <w:marTop w:val="0"/>
      <w:marBottom w:val="0"/>
      <w:divBdr>
        <w:top w:val="none" w:sz="0" w:space="0" w:color="auto"/>
        <w:left w:val="none" w:sz="0" w:space="0" w:color="auto"/>
        <w:bottom w:val="none" w:sz="0" w:space="0" w:color="auto"/>
        <w:right w:val="none" w:sz="0" w:space="0" w:color="auto"/>
      </w:divBdr>
    </w:div>
    <w:div w:id="799112452">
      <w:bodyDiv w:val="1"/>
      <w:marLeft w:val="0"/>
      <w:marRight w:val="0"/>
      <w:marTop w:val="0"/>
      <w:marBottom w:val="0"/>
      <w:divBdr>
        <w:top w:val="none" w:sz="0" w:space="0" w:color="auto"/>
        <w:left w:val="none" w:sz="0" w:space="0" w:color="auto"/>
        <w:bottom w:val="none" w:sz="0" w:space="0" w:color="auto"/>
        <w:right w:val="none" w:sz="0" w:space="0" w:color="auto"/>
      </w:divBdr>
    </w:div>
    <w:div w:id="823933288">
      <w:bodyDiv w:val="1"/>
      <w:marLeft w:val="0"/>
      <w:marRight w:val="0"/>
      <w:marTop w:val="0"/>
      <w:marBottom w:val="0"/>
      <w:divBdr>
        <w:top w:val="none" w:sz="0" w:space="0" w:color="auto"/>
        <w:left w:val="none" w:sz="0" w:space="0" w:color="auto"/>
        <w:bottom w:val="none" w:sz="0" w:space="0" w:color="auto"/>
        <w:right w:val="none" w:sz="0" w:space="0" w:color="auto"/>
      </w:divBdr>
    </w:div>
    <w:div w:id="931471384">
      <w:bodyDiv w:val="1"/>
      <w:marLeft w:val="0"/>
      <w:marRight w:val="0"/>
      <w:marTop w:val="0"/>
      <w:marBottom w:val="0"/>
      <w:divBdr>
        <w:top w:val="none" w:sz="0" w:space="0" w:color="auto"/>
        <w:left w:val="none" w:sz="0" w:space="0" w:color="auto"/>
        <w:bottom w:val="none" w:sz="0" w:space="0" w:color="auto"/>
        <w:right w:val="none" w:sz="0" w:space="0" w:color="auto"/>
      </w:divBdr>
    </w:div>
    <w:div w:id="982658878">
      <w:bodyDiv w:val="1"/>
      <w:marLeft w:val="0"/>
      <w:marRight w:val="0"/>
      <w:marTop w:val="0"/>
      <w:marBottom w:val="0"/>
      <w:divBdr>
        <w:top w:val="none" w:sz="0" w:space="0" w:color="auto"/>
        <w:left w:val="none" w:sz="0" w:space="0" w:color="auto"/>
        <w:bottom w:val="none" w:sz="0" w:space="0" w:color="auto"/>
        <w:right w:val="none" w:sz="0" w:space="0" w:color="auto"/>
      </w:divBdr>
    </w:div>
    <w:div w:id="1001659017">
      <w:bodyDiv w:val="1"/>
      <w:marLeft w:val="0"/>
      <w:marRight w:val="0"/>
      <w:marTop w:val="0"/>
      <w:marBottom w:val="0"/>
      <w:divBdr>
        <w:top w:val="none" w:sz="0" w:space="0" w:color="auto"/>
        <w:left w:val="none" w:sz="0" w:space="0" w:color="auto"/>
        <w:bottom w:val="none" w:sz="0" w:space="0" w:color="auto"/>
        <w:right w:val="none" w:sz="0" w:space="0" w:color="auto"/>
      </w:divBdr>
    </w:div>
    <w:div w:id="1020011622">
      <w:bodyDiv w:val="1"/>
      <w:marLeft w:val="0"/>
      <w:marRight w:val="0"/>
      <w:marTop w:val="0"/>
      <w:marBottom w:val="0"/>
      <w:divBdr>
        <w:top w:val="none" w:sz="0" w:space="0" w:color="auto"/>
        <w:left w:val="none" w:sz="0" w:space="0" w:color="auto"/>
        <w:bottom w:val="none" w:sz="0" w:space="0" w:color="auto"/>
        <w:right w:val="none" w:sz="0" w:space="0" w:color="auto"/>
      </w:divBdr>
    </w:div>
    <w:div w:id="1025909597">
      <w:bodyDiv w:val="1"/>
      <w:marLeft w:val="0"/>
      <w:marRight w:val="0"/>
      <w:marTop w:val="0"/>
      <w:marBottom w:val="0"/>
      <w:divBdr>
        <w:top w:val="none" w:sz="0" w:space="0" w:color="auto"/>
        <w:left w:val="none" w:sz="0" w:space="0" w:color="auto"/>
        <w:bottom w:val="none" w:sz="0" w:space="0" w:color="auto"/>
        <w:right w:val="none" w:sz="0" w:space="0" w:color="auto"/>
      </w:divBdr>
    </w:div>
    <w:div w:id="1085885805">
      <w:bodyDiv w:val="1"/>
      <w:marLeft w:val="0"/>
      <w:marRight w:val="0"/>
      <w:marTop w:val="0"/>
      <w:marBottom w:val="0"/>
      <w:divBdr>
        <w:top w:val="none" w:sz="0" w:space="0" w:color="auto"/>
        <w:left w:val="none" w:sz="0" w:space="0" w:color="auto"/>
        <w:bottom w:val="none" w:sz="0" w:space="0" w:color="auto"/>
        <w:right w:val="none" w:sz="0" w:space="0" w:color="auto"/>
      </w:divBdr>
    </w:div>
    <w:div w:id="1103648126">
      <w:bodyDiv w:val="1"/>
      <w:marLeft w:val="0"/>
      <w:marRight w:val="0"/>
      <w:marTop w:val="0"/>
      <w:marBottom w:val="0"/>
      <w:divBdr>
        <w:top w:val="none" w:sz="0" w:space="0" w:color="auto"/>
        <w:left w:val="none" w:sz="0" w:space="0" w:color="auto"/>
        <w:bottom w:val="none" w:sz="0" w:space="0" w:color="auto"/>
        <w:right w:val="none" w:sz="0" w:space="0" w:color="auto"/>
      </w:divBdr>
    </w:div>
    <w:div w:id="1206914511">
      <w:bodyDiv w:val="1"/>
      <w:marLeft w:val="0"/>
      <w:marRight w:val="0"/>
      <w:marTop w:val="0"/>
      <w:marBottom w:val="0"/>
      <w:divBdr>
        <w:top w:val="none" w:sz="0" w:space="0" w:color="auto"/>
        <w:left w:val="none" w:sz="0" w:space="0" w:color="auto"/>
        <w:bottom w:val="none" w:sz="0" w:space="0" w:color="auto"/>
        <w:right w:val="none" w:sz="0" w:space="0" w:color="auto"/>
      </w:divBdr>
    </w:div>
    <w:div w:id="1327628334">
      <w:bodyDiv w:val="1"/>
      <w:marLeft w:val="0"/>
      <w:marRight w:val="0"/>
      <w:marTop w:val="0"/>
      <w:marBottom w:val="0"/>
      <w:divBdr>
        <w:top w:val="none" w:sz="0" w:space="0" w:color="auto"/>
        <w:left w:val="none" w:sz="0" w:space="0" w:color="auto"/>
        <w:bottom w:val="none" w:sz="0" w:space="0" w:color="auto"/>
        <w:right w:val="none" w:sz="0" w:space="0" w:color="auto"/>
      </w:divBdr>
    </w:div>
    <w:div w:id="1335497833">
      <w:bodyDiv w:val="1"/>
      <w:marLeft w:val="0"/>
      <w:marRight w:val="0"/>
      <w:marTop w:val="0"/>
      <w:marBottom w:val="0"/>
      <w:divBdr>
        <w:top w:val="none" w:sz="0" w:space="0" w:color="auto"/>
        <w:left w:val="none" w:sz="0" w:space="0" w:color="auto"/>
        <w:bottom w:val="none" w:sz="0" w:space="0" w:color="auto"/>
        <w:right w:val="none" w:sz="0" w:space="0" w:color="auto"/>
      </w:divBdr>
    </w:div>
    <w:div w:id="1442534914">
      <w:bodyDiv w:val="1"/>
      <w:marLeft w:val="0"/>
      <w:marRight w:val="0"/>
      <w:marTop w:val="0"/>
      <w:marBottom w:val="0"/>
      <w:divBdr>
        <w:top w:val="none" w:sz="0" w:space="0" w:color="auto"/>
        <w:left w:val="none" w:sz="0" w:space="0" w:color="auto"/>
        <w:bottom w:val="none" w:sz="0" w:space="0" w:color="auto"/>
        <w:right w:val="none" w:sz="0" w:space="0" w:color="auto"/>
      </w:divBdr>
    </w:div>
    <w:div w:id="1712418014">
      <w:bodyDiv w:val="1"/>
      <w:marLeft w:val="0"/>
      <w:marRight w:val="0"/>
      <w:marTop w:val="0"/>
      <w:marBottom w:val="0"/>
      <w:divBdr>
        <w:top w:val="none" w:sz="0" w:space="0" w:color="auto"/>
        <w:left w:val="none" w:sz="0" w:space="0" w:color="auto"/>
        <w:bottom w:val="none" w:sz="0" w:space="0" w:color="auto"/>
        <w:right w:val="none" w:sz="0" w:space="0" w:color="auto"/>
      </w:divBdr>
    </w:div>
    <w:div w:id="1727795407">
      <w:bodyDiv w:val="1"/>
      <w:marLeft w:val="0"/>
      <w:marRight w:val="0"/>
      <w:marTop w:val="0"/>
      <w:marBottom w:val="0"/>
      <w:divBdr>
        <w:top w:val="none" w:sz="0" w:space="0" w:color="auto"/>
        <w:left w:val="none" w:sz="0" w:space="0" w:color="auto"/>
        <w:bottom w:val="none" w:sz="0" w:space="0" w:color="auto"/>
        <w:right w:val="none" w:sz="0" w:space="0" w:color="auto"/>
      </w:divBdr>
    </w:div>
    <w:div w:id="20163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ndelsboliginfo.d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tsinformation.dk/eli/lta/2021/1392" TargetMode="External"/><Relationship Id="rId20" Type="http://schemas.openxmlformats.org/officeDocument/2006/relationships/hyperlink" Target="https://ec.europa.eu/eurostat/documents/7590317/0/Technical-Manual-OOH-HPI-20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DEEECDA8FC471E8AED6D7C2E464027"/>
        <w:category>
          <w:name w:val="Generelt"/>
          <w:gallery w:val="placeholder"/>
        </w:category>
        <w:types>
          <w:type w:val="bbPlcHdr"/>
        </w:types>
        <w:behaviors>
          <w:behavior w:val="content"/>
        </w:behaviors>
        <w:guid w:val="{E732D083-75F7-4A2E-9FD9-2944F837629F}"/>
      </w:docPartPr>
      <w:docPartBody>
        <w:p w:rsidR="000A1D8C" w:rsidRDefault="00674F50">
          <w:pPr>
            <w:pStyle w:val="59DEEECDA8FC471E8AED6D7C2E464027"/>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50"/>
    <w:rsid w:val="000A1D8C"/>
    <w:rsid w:val="004877BB"/>
    <w:rsid w:val="005E3B1A"/>
    <w:rsid w:val="0065095D"/>
    <w:rsid w:val="00674F50"/>
    <w:rsid w:val="00737A73"/>
    <w:rsid w:val="00C83CB2"/>
    <w:rsid w:val="00FC3B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37A73"/>
    <w:rPr>
      <w:color w:val="808080"/>
    </w:rPr>
  </w:style>
  <w:style w:type="paragraph" w:customStyle="1" w:styleId="59DEEECDA8FC471E8AED6D7C2E464027">
    <w:name w:val="59DEEECDA8FC471E8AED6D7C2E464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77255B03-88A8-421D-8E5D-B3EDD410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DsNotat.dotm</Template>
  <TotalTime>2789</TotalTime>
  <Pages>10</Pages>
  <Words>3425</Words>
  <Characters>20897</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Beregning af prisindeks for andelsboliger</vt:lpstr>
    </vt:vector>
  </TitlesOfParts>
  <Company>Danmarks Statistik</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Beregning af prisindeks for andelsboliger</dc:title>
  <dc:creator>SIJ</dc:creator>
  <cp:lastModifiedBy>Jakob Holmgaard</cp:lastModifiedBy>
  <cp:revision>143</cp:revision>
  <cp:lastPrinted>2023-11-01T14:52:00Z</cp:lastPrinted>
  <dcterms:created xsi:type="dcterms:W3CDTF">2020-12-18T18:39:00Z</dcterms:created>
  <dcterms:modified xsi:type="dcterms:W3CDTF">2023-11-28T13:38:00Z</dcterms:modified>
</cp:coreProperties>
</file>